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313C8" w14:textId="77777777" w:rsidR="00A75600" w:rsidRDefault="00A75600" w:rsidP="00A75600">
      <w:pPr>
        <w:spacing w:after="200" w:line="276" w:lineRule="auto"/>
        <w:ind w:hanging="794"/>
        <w:rPr>
          <w:noProof/>
        </w:rPr>
      </w:pPr>
      <w:bookmarkStart w:id="0" w:name="_GoBack"/>
      <w:bookmarkEnd w:id="0"/>
      <w:r>
        <w:rPr>
          <w:noProof/>
          <w:lang w:val="en-GB" w:eastAsia="en-GB"/>
        </w:rPr>
        <w:drawing>
          <wp:inline distT="0" distB="0" distL="0" distR="0" wp14:anchorId="02DAB801" wp14:editId="1BD19E36">
            <wp:extent cx="10372725" cy="7476882"/>
            <wp:effectExtent l="0" t="0" r="0" b="0"/>
            <wp:docPr id="2" name="Picture 2" title="APS Work level standards difference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2651\AppData\Local\Microsoft\Windows\Temporary Internet Files\Content.Word\1847 APS work level standards differences cover landsca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73166" cy="7477200"/>
                    </a:xfrm>
                    <a:prstGeom prst="rect">
                      <a:avLst/>
                    </a:prstGeom>
                    <a:noFill/>
                    <a:ln>
                      <a:noFill/>
                    </a:ln>
                  </pic:spPr>
                </pic:pic>
              </a:graphicData>
            </a:graphic>
          </wp:inline>
        </w:drawing>
      </w:r>
    </w:p>
    <w:p w14:paraId="304AB753" w14:textId="77777777" w:rsidR="000D642A" w:rsidRDefault="000D642A" w:rsidP="00A75600">
      <w:pPr>
        <w:spacing w:after="200" w:line="276" w:lineRule="auto"/>
        <w:rPr>
          <w:b/>
          <w:sz w:val="20"/>
          <w:szCs w:val="20"/>
        </w:rPr>
      </w:pPr>
    </w:p>
    <w:p w14:paraId="3D67B28F" w14:textId="77777777" w:rsidR="000D642A" w:rsidRDefault="000D642A" w:rsidP="00A75600">
      <w:pPr>
        <w:spacing w:after="200" w:line="276" w:lineRule="auto"/>
        <w:rPr>
          <w:b/>
          <w:sz w:val="20"/>
          <w:szCs w:val="20"/>
        </w:rPr>
      </w:pPr>
    </w:p>
    <w:p w14:paraId="4E39F5C2" w14:textId="77777777" w:rsidR="000D642A" w:rsidRDefault="000D642A" w:rsidP="00A75600">
      <w:pPr>
        <w:spacing w:after="200" w:line="276" w:lineRule="auto"/>
        <w:rPr>
          <w:b/>
          <w:sz w:val="20"/>
          <w:szCs w:val="20"/>
        </w:rPr>
      </w:pPr>
    </w:p>
    <w:p w14:paraId="2095FD34" w14:textId="77777777" w:rsidR="000D642A" w:rsidRDefault="000D642A" w:rsidP="00A75600">
      <w:pPr>
        <w:spacing w:after="200" w:line="276" w:lineRule="auto"/>
        <w:rPr>
          <w:b/>
          <w:sz w:val="20"/>
          <w:szCs w:val="20"/>
        </w:rPr>
      </w:pPr>
    </w:p>
    <w:p w14:paraId="351F72AE" w14:textId="77777777" w:rsidR="00820703" w:rsidRPr="00D700FA" w:rsidRDefault="00820703" w:rsidP="00A75600">
      <w:pPr>
        <w:spacing w:after="200" w:line="276" w:lineRule="auto"/>
        <w:rPr>
          <w:b/>
          <w:sz w:val="20"/>
          <w:szCs w:val="20"/>
        </w:rPr>
      </w:pPr>
      <w:r w:rsidRPr="00D700FA">
        <w:rPr>
          <w:b/>
          <w:sz w:val="20"/>
          <w:szCs w:val="20"/>
        </w:rPr>
        <w:t>© Commonwealth of Australia 2013</w:t>
      </w:r>
    </w:p>
    <w:p w14:paraId="127F5F4C" w14:textId="77777777" w:rsidR="00820703" w:rsidRPr="00D700FA" w:rsidRDefault="00820703" w:rsidP="00820703">
      <w:pPr>
        <w:spacing w:before="180" w:line="276" w:lineRule="auto"/>
        <w:rPr>
          <w:sz w:val="20"/>
          <w:szCs w:val="20"/>
        </w:rPr>
      </w:pPr>
      <w:r w:rsidRPr="00D700FA">
        <w:rPr>
          <w:sz w:val="20"/>
          <w:szCs w:val="20"/>
        </w:rPr>
        <w:t>All material produced by the Australian Public Service Commission (the Commission) constitutes Commonwealth copyright administered by the Commission. The Commission reserves the right to set out the terms and conditions for the use of such material.</w:t>
      </w:r>
    </w:p>
    <w:p w14:paraId="3B77912B" w14:textId="77777777" w:rsidR="00820703" w:rsidRPr="00D700FA" w:rsidRDefault="00820703" w:rsidP="00820703">
      <w:pPr>
        <w:spacing w:before="180" w:line="276" w:lineRule="auto"/>
        <w:rPr>
          <w:sz w:val="20"/>
          <w:szCs w:val="20"/>
        </w:rPr>
      </w:pPr>
      <w:r w:rsidRPr="00D700FA">
        <w:rPr>
          <w:sz w:val="20"/>
          <w:szCs w:val="20"/>
        </w:rPr>
        <w:t xml:space="preserve">Apart from any use as permitted under the </w:t>
      </w:r>
      <w:r w:rsidRPr="00D700FA">
        <w:rPr>
          <w:i/>
          <w:sz w:val="20"/>
          <w:szCs w:val="20"/>
        </w:rPr>
        <w:t>Copyright Act 1968</w:t>
      </w:r>
      <w:r w:rsidRPr="00D700FA">
        <w:rPr>
          <w:sz w:val="20"/>
          <w:szCs w:val="20"/>
        </w:rPr>
        <w:t xml:space="preserve"> and those explicitly granted below, all other rights are reserved.</w:t>
      </w:r>
    </w:p>
    <w:p w14:paraId="7508FF0D" w14:textId="77777777" w:rsidR="00820703" w:rsidRPr="00D700FA" w:rsidRDefault="00820703" w:rsidP="00820703">
      <w:pPr>
        <w:spacing w:before="180" w:line="276" w:lineRule="auto"/>
        <w:rPr>
          <w:sz w:val="20"/>
          <w:szCs w:val="20"/>
        </w:rPr>
      </w:pPr>
      <w:r w:rsidRPr="00D700FA">
        <w:rPr>
          <w:sz w:val="20"/>
          <w:szCs w:val="20"/>
        </w:rPr>
        <w:t xml:space="preserve">Unless otherwise noted, all material in this publication, except the Commission logo or badge, the Commonwealth Coat of Arms, and any material protected by a trade mark, is licensed under a Creative Commons BY Attribution 3.0 Australia licence. </w:t>
      </w:r>
    </w:p>
    <w:p w14:paraId="752D8D28" w14:textId="77777777" w:rsidR="00820703" w:rsidRPr="00D700FA" w:rsidRDefault="00820703" w:rsidP="00820703">
      <w:pPr>
        <w:spacing w:before="180" w:line="276" w:lineRule="auto"/>
        <w:rPr>
          <w:sz w:val="20"/>
          <w:szCs w:val="20"/>
        </w:rPr>
      </w:pPr>
      <w:r w:rsidRPr="00D700FA">
        <w:rPr>
          <w:noProof/>
          <w:sz w:val="20"/>
          <w:szCs w:val="20"/>
          <w:lang w:val="en-GB" w:eastAsia="en-GB"/>
        </w:rPr>
        <w:drawing>
          <wp:inline distT="0" distB="0" distL="0" distR="0" wp14:anchorId="53AF38AA" wp14:editId="041DA156">
            <wp:extent cx="771525" cy="266700"/>
            <wp:effectExtent l="19050" t="0" r="9525" b="0"/>
            <wp:docPr id="1" name="Picture 1" descr="Creative Commons Attribution Licen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Attribution Licence">
                      <a:hlinkClick r:id="rId9"/>
                    </pic:cNvPr>
                    <pic:cNvPicPr>
                      <a:picLocks noChangeAspect="1" noChangeArrowheads="1"/>
                    </pic:cNvPicPr>
                  </pic:nvPicPr>
                  <pic:blipFill>
                    <a:blip r:embed="rId10" cstate="print"/>
                    <a:srcRect/>
                    <a:stretch>
                      <a:fillRect/>
                    </a:stretch>
                  </pic:blipFill>
                  <pic:spPr bwMode="auto">
                    <a:xfrm>
                      <a:off x="0" y="0"/>
                      <a:ext cx="771525" cy="266700"/>
                    </a:xfrm>
                    <a:prstGeom prst="rect">
                      <a:avLst/>
                    </a:prstGeom>
                    <a:noFill/>
                    <a:ln w="9525">
                      <a:noFill/>
                      <a:miter lim="800000"/>
                      <a:headEnd/>
                      <a:tailEnd/>
                    </a:ln>
                  </pic:spPr>
                </pic:pic>
              </a:graphicData>
            </a:graphic>
          </wp:inline>
        </w:drawing>
      </w:r>
    </w:p>
    <w:p w14:paraId="6F8D260C" w14:textId="77777777" w:rsidR="00820703" w:rsidRPr="00D700FA" w:rsidRDefault="00820703" w:rsidP="00820703">
      <w:pPr>
        <w:spacing w:before="180" w:line="276" w:lineRule="auto"/>
        <w:rPr>
          <w:sz w:val="20"/>
          <w:szCs w:val="20"/>
        </w:rPr>
      </w:pPr>
      <w:r w:rsidRPr="00D700FA">
        <w:rPr>
          <w:sz w:val="20"/>
          <w:szCs w:val="20"/>
        </w:rPr>
        <w:t>Details of the licence are available at &lt;http://creativecommons.org/licenses/by/3.0/au/&gt;.</w:t>
      </w:r>
    </w:p>
    <w:p w14:paraId="14F99791" w14:textId="77777777" w:rsidR="00820703" w:rsidRPr="00D700FA" w:rsidRDefault="00820703" w:rsidP="00820703">
      <w:pPr>
        <w:spacing w:before="300" w:line="276" w:lineRule="auto"/>
        <w:rPr>
          <w:b/>
          <w:sz w:val="20"/>
          <w:szCs w:val="20"/>
        </w:rPr>
      </w:pPr>
      <w:r w:rsidRPr="00D700FA">
        <w:rPr>
          <w:b/>
          <w:sz w:val="20"/>
          <w:szCs w:val="20"/>
        </w:rPr>
        <w:t>Attributing Commission works</w:t>
      </w:r>
    </w:p>
    <w:p w14:paraId="46385D3B" w14:textId="77777777" w:rsidR="00820703" w:rsidRPr="00D700FA" w:rsidRDefault="00820703" w:rsidP="00820703">
      <w:pPr>
        <w:spacing w:before="180" w:line="276" w:lineRule="auto"/>
        <w:rPr>
          <w:sz w:val="20"/>
          <w:szCs w:val="20"/>
        </w:rPr>
      </w:pPr>
      <w:r w:rsidRPr="00D700FA">
        <w:rPr>
          <w:sz w:val="20"/>
          <w:szCs w:val="20"/>
        </w:rPr>
        <w:t xml:space="preserve">Use of Commission material licensed under a Creative Commons BY Attribution 3.0 Australia licence requires you to attribute the work in the manner specified by the Commission (but not in any way that suggests that the Commission endorses you or your use of the work). Almost any form of words is fine </w:t>
      </w:r>
      <w:proofErr w:type="gramStart"/>
      <w:r w:rsidRPr="00D700FA">
        <w:rPr>
          <w:sz w:val="20"/>
          <w:szCs w:val="20"/>
        </w:rPr>
        <w:t>provided that</w:t>
      </w:r>
      <w:proofErr w:type="gramEnd"/>
      <w:r w:rsidRPr="00D700FA">
        <w:rPr>
          <w:sz w:val="20"/>
          <w:szCs w:val="20"/>
        </w:rPr>
        <w:t xml:space="preserve"> you:</w:t>
      </w:r>
    </w:p>
    <w:p w14:paraId="7B5D8C2D" w14:textId="77777777" w:rsidR="00820703" w:rsidRPr="00D700FA" w:rsidRDefault="00820703" w:rsidP="00820703">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provide a reference to the publication and, where practical, the relevant pages</w:t>
      </w:r>
    </w:p>
    <w:p w14:paraId="4ED7A231" w14:textId="77777777" w:rsidR="00820703" w:rsidRPr="00D700FA" w:rsidRDefault="00820703" w:rsidP="00820703">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 xml:space="preserve">make clear </w:t>
      </w:r>
      <w:proofErr w:type="gramStart"/>
      <w:r w:rsidRPr="00D700FA">
        <w:rPr>
          <w:rFonts w:ascii="Times New Roman" w:hAnsi="Times New Roman"/>
          <w:lang w:eastAsia="en-AU"/>
        </w:rPr>
        <w:t>whether or not</w:t>
      </w:r>
      <w:proofErr w:type="gramEnd"/>
      <w:r w:rsidRPr="00D700FA">
        <w:rPr>
          <w:rFonts w:ascii="Times New Roman" w:hAnsi="Times New Roman"/>
          <w:lang w:eastAsia="en-AU"/>
        </w:rPr>
        <w:t xml:space="preserve"> you have changed Commission content</w:t>
      </w:r>
    </w:p>
    <w:p w14:paraId="417617C7" w14:textId="77777777" w:rsidR="00820703" w:rsidRPr="00D700FA" w:rsidRDefault="00820703" w:rsidP="00820703">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make clear what permission you are relying on, by including a reference to this page or to a human-readable summary of the Creative Commons BY Attribution 3.0 Australia licence</w:t>
      </w:r>
    </w:p>
    <w:p w14:paraId="6A7B0F4C" w14:textId="77777777" w:rsidR="00820703" w:rsidRPr="00D700FA" w:rsidRDefault="00820703" w:rsidP="00820703">
      <w:pPr>
        <w:pStyle w:val="ListParagraph"/>
        <w:numPr>
          <w:ilvl w:val="0"/>
          <w:numId w:val="8"/>
        </w:numPr>
        <w:autoSpaceDE w:val="0"/>
        <w:autoSpaceDN w:val="0"/>
        <w:adjustRightInd w:val="0"/>
        <w:spacing w:before="180" w:line="276" w:lineRule="auto"/>
        <w:jc w:val="left"/>
        <w:rPr>
          <w:rFonts w:ascii="Times New Roman" w:hAnsi="Times New Roman"/>
          <w:lang w:eastAsia="en-AU"/>
        </w:rPr>
      </w:pPr>
      <w:r w:rsidRPr="00D700FA">
        <w:rPr>
          <w:rFonts w:ascii="Times New Roman" w:hAnsi="Times New Roman"/>
          <w:lang w:eastAsia="en-AU"/>
        </w:rPr>
        <w:t>do not suggest that the Commission endorses you or your use of our content.</w:t>
      </w:r>
    </w:p>
    <w:p w14:paraId="0E06C6EE" w14:textId="77777777" w:rsidR="00820703" w:rsidRPr="00D700FA" w:rsidRDefault="00820703" w:rsidP="00820703">
      <w:pPr>
        <w:spacing w:before="180" w:line="276" w:lineRule="auto"/>
        <w:rPr>
          <w:sz w:val="20"/>
          <w:szCs w:val="20"/>
        </w:rPr>
      </w:pPr>
      <w:r w:rsidRPr="00D700FA">
        <w:rPr>
          <w:sz w:val="20"/>
          <w:szCs w:val="20"/>
        </w:rPr>
        <w:t xml:space="preserve">For example, if you have not changed Commission content in any way, you might state: ‘Sourced from the Australian Public Service Commission publication </w:t>
      </w:r>
      <w:r w:rsidR="00D217EE">
        <w:rPr>
          <w:sz w:val="20"/>
          <w:szCs w:val="20"/>
        </w:rPr>
        <w:t>APS work level standards differences document APS and EL classifications</w:t>
      </w:r>
      <w:r w:rsidRPr="00D700FA">
        <w:rPr>
          <w:sz w:val="20"/>
          <w:szCs w:val="20"/>
        </w:rPr>
        <w:t>. This material is licensed for reuse under a Creative Commons BY Attribution 3.0 Australia licence.’</w:t>
      </w:r>
    </w:p>
    <w:p w14:paraId="350A56A7" w14:textId="77777777" w:rsidR="00820703" w:rsidRPr="00D700FA" w:rsidRDefault="00820703" w:rsidP="00820703">
      <w:pPr>
        <w:spacing w:before="180" w:line="276" w:lineRule="auto"/>
        <w:rPr>
          <w:sz w:val="20"/>
          <w:szCs w:val="20"/>
        </w:rPr>
      </w:pPr>
      <w:r w:rsidRPr="00D700FA">
        <w:rPr>
          <w:sz w:val="20"/>
          <w:szCs w:val="20"/>
        </w:rPr>
        <w:t>If you have made changes to Commission content, it would be more accurate to describe it as ‘based on Australian Public Service Commission content’ instead of ‘sourced from the Australian Public Service Commission’.</w:t>
      </w:r>
    </w:p>
    <w:p w14:paraId="68AB155D" w14:textId="77777777" w:rsidR="00820703" w:rsidRPr="00D700FA" w:rsidRDefault="00820703" w:rsidP="00820703">
      <w:pPr>
        <w:spacing w:before="300" w:line="276" w:lineRule="auto"/>
        <w:rPr>
          <w:b/>
          <w:sz w:val="20"/>
          <w:szCs w:val="20"/>
        </w:rPr>
      </w:pPr>
      <w:r w:rsidRPr="00D700FA">
        <w:rPr>
          <w:b/>
          <w:sz w:val="20"/>
          <w:szCs w:val="20"/>
        </w:rPr>
        <w:t>Enquiries</w:t>
      </w:r>
    </w:p>
    <w:p w14:paraId="065F82AE" w14:textId="77777777" w:rsidR="00820703" w:rsidRPr="00D700FA" w:rsidRDefault="00820703" w:rsidP="00820703">
      <w:pPr>
        <w:spacing w:before="180" w:line="276" w:lineRule="auto"/>
        <w:rPr>
          <w:sz w:val="20"/>
          <w:szCs w:val="20"/>
        </w:rPr>
      </w:pPr>
      <w:r w:rsidRPr="00D700FA">
        <w:rPr>
          <w:sz w:val="20"/>
          <w:szCs w:val="20"/>
        </w:rPr>
        <w:t>For enquiries concerning reproduction and rights in Commission products and services, please contact communicationsunit@apsc.gov.au.</w:t>
      </w:r>
    </w:p>
    <w:p w14:paraId="19250449" w14:textId="77777777" w:rsidR="00B03AD0" w:rsidRDefault="00820703" w:rsidP="00937FD2">
      <w:pPr>
        <w:spacing w:before="40" w:after="40"/>
        <w:jc w:val="center"/>
        <w:rPr>
          <w:rFonts w:ascii="Arial" w:hAnsi="Arial" w:cs="Arial"/>
          <w:color w:val="000000" w:themeColor="text1"/>
          <w:sz w:val="36"/>
          <w:szCs w:val="36"/>
        </w:rPr>
      </w:pPr>
      <w:r>
        <w:rPr>
          <w:rFonts w:ascii="Arial" w:hAnsi="Arial" w:cs="Arial"/>
          <w:color w:val="000000" w:themeColor="text1"/>
          <w:sz w:val="36"/>
          <w:szCs w:val="36"/>
        </w:rPr>
        <w:br w:type="page"/>
      </w:r>
    </w:p>
    <w:p w14:paraId="3C222B67" w14:textId="77777777" w:rsidR="00B03AD0" w:rsidRDefault="00B03AD0" w:rsidP="00937FD2">
      <w:pPr>
        <w:spacing w:before="40" w:after="40"/>
        <w:jc w:val="center"/>
        <w:rPr>
          <w:rFonts w:ascii="Arial" w:hAnsi="Arial" w:cs="Arial"/>
          <w:color w:val="000000" w:themeColor="text1"/>
          <w:sz w:val="36"/>
          <w:szCs w:val="36"/>
        </w:rPr>
      </w:pPr>
    </w:p>
    <w:p w14:paraId="05E7E1D1" w14:textId="77777777" w:rsidR="004E6FC5" w:rsidRPr="004E6FC5" w:rsidRDefault="004E6FC5" w:rsidP="00937FD2">
      <w:pPr>
        <w:spacing w:before="40" w:after="40"/>
        <w:jc w:val="center"/>
        <w:rPr>
          <w:rFonts w:ascii="Arial" w:hAnsi="Arial" w:cs="Arial"/>
          <w:color w:val="000000" w:themeColor="text1"/>
          <w:sz w:val="36"/>
          <w:szCs w:val="36"/>
        </w:rPr>
      </w:pPr>
      <w:r w:rsidRPr="004E6FC5">
        <w:rPr>
          <w:rFonts w:ascii="Arial" w:hAnsi="Arial" w:cs="Arial"/>
          <w:color w:val="000000" w:themeColor="text1"/>
          <w:sz w:val="36"/>
          <w:szCs w:val="36"/>
        </w:rPr>
        <w:t>Australian Public Service Work Level Standards</w:t>
      </w:r>
      <w:r w:rsidR="00D82650">
        <w:rPr>
          <w:rFonts w:ascii="Arial" w:hAnsi="Arial" w:cs="Arial"/>
          <w:color w:val="000000" w:themeColor="text1"/>
          <w:sz w:val="36"/>
          <w:szCs w:val="36"/>
        </w:rPr>
        <w:t xml:space="preserve"> – Differences Document</w:t>
      </w:r>
    </w:p>
    <w:p w14:paraId="2BCEC8C6" w14:textId="77777777" w:rsidR="004E6FC5" w:rsidRPr="00937FD2" w:rsidRDefault="001F4036" w:rsidP="00937FD2">
      <w:pPr>
        <w:pStyle w:val="APSCBlocktext"/>
        <w:spacing w:before="40" w:after="40"/>
        <w:rPr>
          <w:rFonts w:ascii="Arial" w:hAnsi="Arial" w:cs="Arial"/>
          <w:b/>
          <w:sz w:val="20"/>
          <w:szCs w:val="20"/>
        </w:rPr>
      </w:pPr>
      <w:r w:rsidRPr="00937FD2">
        <w:rPr>
          <w:rFonts w:ascii="Arial" w:hAnsi="Arial" w:cs="Arial"/>
          <w:b/>
          <w:sz w:val="20"/>
          <w:szCs w:val="20"/>
        </w:rPr>
        <w:t>Purpose</w:t>
      </w:r>
    </w:p>
    <w:p w14:paraId="36F91019" w14:textId="77777777" w:rsidR="001F4036" w:rsidRPr="00937FD2" w:rsidRDefault="001F4036" w:rsidP="00937FD2">
      <w:pPr>
        <w:pStyle w:val="APSCBlocktext"/>
        <w:spacing w:before="40" w:after="40"/>
        <w:rPr>
          <w:sz w:val="21"/>
          <w:szCs w:val="21"/>
        </w:rPr>
      </w:pPr>
      <w:r w:rsidRPr="00937FD2">
        <w:rPr>
          <w:sz w:val="21"/>
          <w:szCs w:val="21"/>
        </w:rPr>
        <w:t xml:space="preserve">This document summarises some of the key responsibilities and requirements that differentiates each classification level from the others. For each classification level, the list describes role characteristics that are introduced at that level or that increase in complexity relative to the classification level below. The document is not </w:t>
      </w:r>
      <w:r w:rsidRPr="00937FD2">
        <w:rPr>
          <w:b/>
          <w:sz w:val="21"/>
          <w:szCs w:val="21"/>
        </w:rPr>
        <w:t>an exhaustive list</w:t>
      </w:r>
      <w:r w:rsidRPr="00937FD2">
        <w:rPr>
          <w:sz w:val="21"/>
          <w:szCs w:val="21"/>
        </w:rPr>
        <w:t xml:space="preserve"> of job tasks, rather, it focuses on those activities that </w:t>
      </w:r>
      <w:r w:rsidRPr="00937FD2">
        <w:rPr>
          <w:b/>
          <w:sz w:val="21"/>
          <w:szCs w:val="21"/>
        </w:rPr>
        <w:t>differentiate job levels</w:t>
      </w:r>
      <w:r w:rsidRPr="00937FD2">
        <w:rPr>
          <w:sz w:val="21"/>
          <w:szCs w:val="21"/>
        </w:rPr>
        <w:t xml:space="preserve">. A full description of expectations at each classification level can be found in the </w:t>
      </w:r>
      <w:hyperlink r:id="rId11" w:history="1">
        <w:r w:rsidRPr="00B03AD0">
          <w:rPr>
            <w:rStyle w:val="Hyperlink"/>
            <w:sz w:val="21"/>
            <w:szCs w:val="21"/>
          </w:rPr>
          <w:t>Work Level Standards</w:t>
        </w:r>
      </w:hyperlink>
      <w:r w:rsidRPr="00937FD2">
        <w:rPr>
          <w:sz w:val="21"/>
          <w:szCs w:val="21"/>
        </w:rPr>
        <w:t>.</w:t>
      </w:r>
    </w:p>
    <w:p w14:paraId="0BEB6374" w14:textId="77777777" w:rsidR="00937FD2" w:rsidRPr="00937FD2" w:rsidRDefault="00937FD2" w:rsidP="00937FD2">
      <w:pPr>
        <w:pStyle w:val="APSCBlocktext"/>
        <w:spacing w:before="0" w:after="0" w:line="240" w:lineRule="auto"/>
        <w:rPr>
          <w:sz w:val="12"/>
          <w:szCs w:val="12"/>
        </w:rPr>
      </w:pPr>
    </w:p>
    <w:tbl>
      <w:tblPr>
        <w:tblStyle w:val="TableGrid"/>
        <w:tblW w:w="15309" w:type="dxa"/>
        <w:tblInd w:w="108" w:type="dxa"/>
        <w:tblLayout w:type="fixed"/>
        <w:tblCellMar>
          <w:top w:w="28" w:type="dxa"/>
          <w:left w:w="57" w:type="dxa"/>
          <w:bottom w:w="28" w:type="dxa"/>
          <w:right w:w="57" w:type="dxa"/>
        </w:tblCellMar>
        <w:tblLook w:val="04A0" w:firstRow="1" w:lastRow="0" w:firstColumn="1" w:lastColumn="0" w:noHBand="0" w:noVBand="1"/>
        <w:tblCaption w:val="Differences table"/>
      </w:tblPr>
      <w:tblGrid>
        <w:gridCol w:w="1439"/>
        <w:gridCol w:w="1733"/>
        <w:gridCol w:w="1733"/>
        <w:gridCol w:w="1734"/>
        <w:gridCol w:w="1734"/>
        <w:gridCol w:w="1734"/>
        <w:gridCol w:w="1734"/>
        <w:gridCol w:w="1734"/>
        <w:gridCol w:w="1734"/>
      </w:tblGrid>
      <w:tr w:rsidR="00D82650" w:rsidRPr="00C62037" w14:paraId="05CC2EA4" w14:textId="77777777" w:rsidTr="00BA6327">
        <w:trPr>
          <w:trHeight w:val="284"/>
          <w:tblHeader/>
        </w:trPr>
        <w:tc>
          <w:tcPr>
            <w:tcW w:w="1440" w:type="dxa"/>
            <w:tcBorders>
              <w:bottom w:val="single" w:sz="4" w:space="0" w:color="auto"/>
            </w:tcBorders>
            <w:shd w:val="clear" w:color="auto" w:fill="92278F"/>
            <w:vAlign w:val="center"/>
          </w:tcPr>
          <w:p w14:paraId="605320D8" w14:textId="77777777" w:rsidR="00D82650" w:rsidRPr="00C62037" w:rsidRDefault="00D82650" w:rsidP="001C742B">
            <w:pPr>
              <w:spacing w:before="40" w:after="40" w:line="276" w:lineRule="auto"/>
              <w:jc w:val="center"/>
              <w:rPr>
                <w:rFonts w:ascii="Arial" w:hAnsi="Arial" w:cs="Arial"/>
                <w:b/>
                <w:color w:val="FFFFFF" w:themeColor="background1"/>
              </w:rPr>
            </w:pPr>
          </w:p>
        </w:tc>
        <w:tc>
          <w:tcPr>
            <w:tcW w:w="1734" w:type="dxa"/>
            <w:tcBorders>
              <w:bottom w:val="single" w:sz="4" w:space="0" w:color="auto"/>
            </w:tcBorders>
            <w:shd w:val="clear" w:color="auto" w:fill="92278F"/>
            <w:vAlign w:val="center"/>
          </w:tcPr>
          <w:p w14:paraId="701FF826"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1</w:t>
            </w:r>
          </w:p>
        </w:tc>
        <w:tc>
          <w:tcPr>
            <w:tcW w:w="1734" w:type="dxa"/>
            <w:tcBorders>
              <w:bottom w:val="single" w:sz="4" w:space="0" w:color="auto"/>
            </w:tcBorders>
            <w:shd w:val="clear" w:color="auto" w:fill="92278F"/>
            <w:vAlign w:val="center"/>
          </w:tcPr>
          <w:p w14:paraId="157FC969"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2</w:t>
            </w:r>
          </w:p>
        </w:tc>
        <w:tc>
          <w:tcPr>
            <w:tcW w:w="1734" w:type="dxa"/>
            <w:tcBorders>
              <w:bottom w:val="single" w:sz="4" w:space="0" w:color="auto"/>
            </w:tcBorders>
            <w:shd w:val="clear" w:color="auto" w:fill="92278F"/>
            <w:vAlign w:val="center"/>
          </w:tcPr>
          <w:p w14:paraId="625E8182"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3</w:t>
            </w:r>
          </w:p>
        </w:tc>
        <w:tc>
          <w:tcPr>
            <w:tcW w:w="1734" w:type="dxa"/>
            <w:tcBorders>
              <w:bottom w:val="single" w:sz="4" w:space="0" w:color="auto"/>
            </w:tcBorders>
            <w:shd w:val="clear" w:color="auto" w:fill="92278F"/>
            <w:vAlign w:val="center"/>
          </w:tcPr>
          <w:p w14:paraId="5E9B3330"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4</w:t>
            </w:r>
          </w:p>
        </w:tc>
        <w:tc>
          <w:tcPr>
            <w:tcW w:w="1734" w:type="dxa"/>
            <w:tcBorders>
              <w:top w:val="single" w:sz="4" w:space="0" w:color="auto"/>
              <w:bottom w:val="single" w:sz="4" w:space="0" w:color="auto"/>
            </w:tcBorders>
            <w:shd w:val="clear" w:color="auto" w:fill="92278F"/>
            <w:vAlign w:val="center"/>
          </w:tcPr>
          <w:p w14:paraId="0307A5E9"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5</w:t>
            </w:r>
          </w:p>
        </w:tc>
        <w:tc>
          <w:tcPr>
            <w:tcW w:w="1734" w:type="dxa"/>
            <w:tcBorders>
              <w:bottom w:val="single" w:sz="4" w:space="0" w:color="auto"/>
            </w:tcBorders>
            <w:shd w:val="clear" w:color="auto" w:fill="92278F"/>
            <w:vAlign w:val="center"/>
          </w:tcPr>
          <w:p w14:paraId="57749D95"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APS 6</w:t>
            </w:r>
          </w:p>
        </w:tc>
        <w:tc>
          <w:tcPr>
            <w:tcW w:w="1734" w:type="dxa"/>
            <w:tcBorders>
              <w:top w:val="single" w:sz="4" w:space="0" w:color="auto"/>
              <w:bottom w:val="single" w:sz="4" w:space="0" w:color="auto"/>
            </w:tcBorders>
            <w:shd w:val="clear" w:color="auto" w:fill="90BB43"/>
            <w:vAlign w:val="center"/>
          </w:tcPr>
          <w:p w14:paraId="2FCE30FA"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EL 1</w:t>
            </w:r>
          </w:p>
        </w:tc>
        <w:tc>
          <w:tcPr>
            <w:tcW w:w="1734" w:type="dxa"/>
            <w:tcBorders>
              <w:bottom w:val="single" w:sz="4" w:space="0" w:color="auto"/>
            </w:tcBorders>
            <w:shd w:val="clear" w:color="auto" w:fill="90BB43"/>
            <w:vAlign w:val="center"/>
          </w:tcPr>
          <w:p w14:paraId="1439BB1E" w14:textId="77777777" w:rsidR="00D82650" w:rsidRPr="00C62037" w:rsidRDefault="00D82650" w:rsidP="001C742B">
            <w:pPr>
              <w:spacing w:before="40" w:after="40" w:line="276" w:lineRule="auto"/>
              <w:jc w:val="center"/>
              <w:rPr>
                <w:rFonts w:ascii="Arial" w:hAnsi="Arial" w:cs="Arial"/>
                <w:b/>
                <w:color w:val="FFFFFF" w:themeColor="background1"/>
              </w:rPr>
            </w:pPr>
            <w:r>
              <w:rPr>
                <w:rFonts w:ascii="Arial" w:hAnsi="Arial" w:cs="Arial"/>
                <w:b/>
                <w:color w:val="FFFFFF" w:themeColor="background1"/>
              </w:rPr>
              <w:t>EL 2</w:t>
            </w:r>
          </w:p>
        </w:tc>
      </w:tr>
      <w:tr w:rsidR="00937FD2" w:rsidRPr="004F7770" w14:paraId="132C7CAC" w14:textId="77777777" w:rsidTr="00A35BF3">
        <w:trPr>
          <w:trHeight w:val="1304"/>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0525FAA9" w14:textId="77777777" w:rsidR="00937FD2" w:rsidRPr="002F57A3" w:rsidRDefault="00937FD2" w:rsidP="001E15E6">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Knowledge</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D0DD7E6" w14:textId="77777777" w:rsidR="00937FD2" w:rsidRPr="00D82650" w:rsidRDefault="00937FD2" w:rsidP="00BA6327">
            <w:pPr>
              <w:spacing w:before="40" w:after="40" w:line="259" w:lineRule="auto"/>
              <w:rPr>
                <w:color w:val="000000" w:themeColor="text1"/>
                <w:sz w:val="19"/>
                <w:szCs w:val="19"/>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720565E" w14:textId="77777777" w:rsidR="00937FD2" w:rsidRPr="00D82650" w:rsidRDefault="00937FD2" w:rsidP="00BA6327">
            <w:pPr>
              <w:spacing w:before="40" w:after="40" w:line="259" w:lineRule="auto"/>
              <w:ind w:firstLine="34"/>
              <w:rPr>
                <w:color w:val="000000" w:themeColor="text1"/>
                <w:sz w:val="19"/>
                <w:szCs w:val="19"/>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E9E1662"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Functional expertise that contributes to team goals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1CD9D52"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Functional expertise in a specific area that contributes to team goals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819260A" w14:textId="77777777" w:rsidR="00937FD2" w:rsidRPr="007B6997" w:rsidRDefault="00937FD2" w:rsidP="00BA6327">
            <w:pPr>
              <w:spacing w:before="40" w:after="40" w:line="259" w:lineRule="auto"/>
              <w:rPr>
                <w:color w:val="000000" w:themeColor="text1"/>
                <w:sz w:val="19"/>
                <w:szCs w:val="19"/>
              </w:rPr>
            </w:pPr>
            <w:r>
              <w:rPr>
                <w:color w:val="000000" w:themeColor="text1"/>
                <w:sz w:val="19"/>
                <w:szCs w:val="19"/>
              </w:rPr>
              <w:t>Technical expertise that contributes to business unit outcomes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7D4F98A"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Expertise and technical knowledge in a specialist area</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0760DE8" w14:textId="77777777" w:rsidR="00937FD2" w:rsidRPr="00D82650" w:rsidRDefault="00937FD2" w:rsidP="00BA6327">
            <w:pPr>
              <w:spacing w:before="40" w:after="40" w:line="259" w:lineRule="auto"/>
              <w:ind w:hanging="34"/>
              <w:rPr>
                <w:color w:val="000000" w:themeColor="text1"/>
                <w:sz w:val="19"/>
                <w:szCs w:val="19"/>
              </w:rPr>
            </w:pPr>
            <w:r>
              <w:rPr>
                <w:color w:val="000000" w:themeColor="text1"/>
                <w:sz w:val="19"/>
                <w:szCs w:val="19"/>
              </w:rPr>
              <w:t>Expertise across a broad range of activities potentially relating to the work of different program areas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C0050E6"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Strategic level of specialist, professional and/or technical expertise potentially relating to the work of different program or discipline areas</w:t>
            </w:r>
          </w:p>
        </w:tc>
      </w:tr>
      <w:tr w:rsidR="00937FD2" w:rsidRPr="004F7770" w14:paraId="2190FAB4" w14:textId="77777777" w:rsidTr="00A35BF3">
        <w:trPr>
          <w:trHeight w:val="1304"/>
        </w:trPr>
        <w:tc>
          <w:tcPr>
            <w:tcW w:w="1440" w:type="dxa"/>
            <w:tcBorders>
              <w:top w:val="single" w:sz="4" w:space="0" w:color="auto"/>
              <w:left w:val="single" w:sz="4" w:space="0" w:color="auto"/>
              <w:bottom w:val="single" w:sz="4" w:space="0" w:color="auto"/>
              <w:right w:val="single" w:sz="4" w:space="0" w:color="auto"/>
            </w:tcBorders>
          </w:tcPr>
          <w:p w14:paraId="2CB7824A" w14:textId="77777777" w:rsidR="00937FD2" w:rsidRPr="002F57A3" w:rsidRDefault="00937FD2" w:rsidP="001E15E6">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Advice</w:t>
            </w:r>
          </w:p>
        </w:tc>
        <w:tc>
          <w:tcPr>
            <w:tcW w:w="1734" w:type="dxa"/>
            <w:tcBorders>
              <w:top w:val="single" w:sz="4" w:space="0" w:color="auto"/>
              <w:left w:val="single" w:sz="4" w:space="0" w:color="auto"/>
              <w:bottom w:val="single" w:sz="4" w:space="0" w:color="auto"/>
              <w:right w:val="single" w:sz="4" w:space="0" w:color="auto"/>
            </w:tcBorders>
          </w:tcPr>
          <w:p w14:paraId="170E2661"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Provide procedural advice and respond to straightforward requests for information</w:t>
            </w:r>
          </w:p>
        </w:tc>
        <w:tc>
          <w:tcPr>
            <w:tcW w:w="1734" w:type="dxa"/>
            <w:tcBorders>
              <w:top w:val="single" w:sz="4" w:space="0" w:color="auto"/>
              <w:left w:val="single" w:sz="4" w:space="0" w:color="auto"/>
              <w:bottom w:val="single" w:sz="4" w:space="0" w:color="auto"/>
              <w:right w:val="single" w:sz="4" w:space="0" w:color="auto"/>
            </w:tcBorders>
          </w:tcPr>
          <w:p w14:paraId="14E31462"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Provide advice on procedural and technical issues relating to immediate work area</w:t>
            </w:r>
          </w:p>
        </w:tc>
        <w:tc>
          <w:tcPr>
            <w:tcW w:w="1734" w:type="dxa"/>
            <w:tcBorders>
              <w:top w:val="single" w:sz="4" w:space="0" w:color="auto"/>
              <w:left w:val="single" w:sz="4" w:space="0" w:color="auto"/>
              <w:bottom w:val="single" w:sz="4" w:space="0" w:color="auto"/>
              <w:right w:val="single" w:sz="4" w:space="0" w:color="auto"/>
            </w:tcBorders>
          </w:tcPr>
          <w:p w14:paraId="6691AF78"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Provide advice using established policy and procedures as a guide</w:t>
            </w:r>
          </w:p>
        </w:tc>
        <w:tc>
          <w:tcPr>
            <w:tcW w:w="1734" w:type="dxa"/>
            <w:tcBorders>
              <w:top w:val="single" w:sz="4" w:space="0" w:color="auto"/>
              <w:left w:val="single" w:sz="4" w:space="0" w:color="auto"/>
              <w:bottom w:val="single" w:sz="4" w:space="0" w:color="auto"/>
              <w:right w:val="single" w:sz="4" w:space="0" w:color="auto"/>
            </w:tcBorders>
          </w:tcPr>
          <w:p w14:paraId="7E056D73" w14:textId="77777777" w:rsidR="00937FD2" w:rsidRPr="007B6997" w:rsidRDefault="00937FD2" w:rsidP="00BA6327">
            <w:pPr>
              <w:spacing w:before="40" w:after="40" w:line="259" w:lineRule="auto"/>
              <w:rPr>
                <w:color w:val="000000" w:themeColor="text1"/>
                <w:sz w:val="19"/>
                <w:szCs w:val="19"/>
              </w:rPr>
            </w:pPr>
            <w:r>
              <w:rPr>
                <w:color w:val="000000" w:themeColor="text1"/>
                <w:sz w:val="19"/>
                <w:szCs w:val="19"/>
              </w:rPr>
              <w:t>Provide sound advice which influences decisions by others</w:t>
            </w:r>
          </w:p>
        </w:tc>
        <w:tc>
          <w:tcPr>
            <w:tcW w:w="1734" w:type="dxa"/>
            <w:tcBorders>
              <w:top w:val="single" w:sz="4" w:space="0" w:color="auto"/>
              <w:left w:val="single" w:sz="4" w:space="0" w:color="auto"/>
              <w:bottom w:val="single" w:sz="4" w:space="0" w:color="auto"/>
              <w:right w:val="single" w:sz="4" w:space="0" w:color="auto"/>
            </w:tcBorders>
          </w:tcPr>
          <w:p w14:paraId="3144D355" w14:textId="77777777" w:rsidR="00937FD2" w:rsidRPr="007B6997" w:rsidRDefault="00937FD2" w:rsidP="00BA6327">
            <w:pPr>
              <w:spacing w:before="40" w:after="40" w:line="259" w:lineRule="auto"/>
              <w:rPr>
                <w:color w:val="000000" w:themeColor="text1"/>
                <w:sz w:val="19"/>
                <w:szCs w:val="19"/>
              </w:rPr>
            </w:pPr>
            <w:r>
              <w:rPr>
                <w:color w:val="000000" w:themeColor="text1"/>
                <w:sz w:val="19"/>
                <w:szCs w:val="19"/>
              </w:rPr>
              <w:t>Provide professional and policy advice within an area of specialisation</w:t>
            </w:r>
          </w:p>
        </w:tc>
        <w:tc>
          <w:tcPr>
            <w:tcW w:w="1734" w:type="dxa"/>
            <w:tcBorders>
              <w:top w:val="single" w:sz="4" w:space="0" w:color="auto"/>
              <w:left w:val="single" w:sz="4" w:space="0" w:color="auto"/>
              <w:bottom w:val="single" w:sz="4" w:space="0" w:color="auto"/>
              <w:right w:val="single" w:sz="4" w:space="0" w:color="auto"/>
            </w:tcBorders>
          </w:tcPr>
          <w:p w14:paraId="386C35C7"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Provide accurate specialist advice</w:t>
            </w:r>
          </w:p>
        </w:tc>
        <w:tc>
          <w:tcPr>
            <w:tcW w:w="1734" w:type="dxa"/>
            <w:tcBorders>
              <w:top w:val="single" w:sz="4" w:space="0" w:color="auto"/>
              <w:left w:val="single" w:sz="4" w:space="0" w:color="auto"/>
              <w:bottom w:val="single" w:sz="4" w:space="0" w:color="auto"/>
              <w:right w:val="single" w:sz="4" w:space="0" w:color="auto"/>
            </w:tcBorders>
          </w:tcPr>
          <w:p w14:paraId="2A57DB3A" w14:textId="77777777" w:rsidR="00937FD2" w:rsidRPr="00D82650" w:rsidRDefault="00937FD2" w:rsidP="00BA6327">
            <w:pPr>
              <w:spacing w:before="40" w:after="40" w:line="259" w:lineRule="auto"/>
              <w:ind w:hanging="34"/>
              <w:rPr>
                <w:color w:val="000000" w:themeColor="text1"/>
                <w:sz w:val="19"/>
                <w:szCs w:val="19"/>
              </w:rPr>
            </w:pPr>
            <w:r>
              <w:rPr>
                <w:color w:val="000000" w:themeColor="text1"/>
                <w:sz w:val="19"/>
                <w:szCs w:val="19"/>
              </w:rPr>
              <w:t>Provide expert advice internally and externally to the organisation</w:t>
            </w:r>
          </w:p>
        </w:tc>
        <w:tc>
          <w:tcPr>
            <w:tcW w:w="1734" w:type="dxa"/>
            <w:tcBorders>
              <w:top w:val="single" w:sz="4" w:space="0" w:color="auto"/>
              <w:left w:val="single" w:sz="4" w:space="0" w:color="auto"/>
              <w:bottom w:val="single" w:sz="4" w:space="0" w:color="auto"/>
              <w:right w:val="single" w:sz="4" w:space="0" w:color="auto"/>
            </w:tcBorders>
          </w:tcPr>
          <w:p w14:paraId="078201F0"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Provide advice that influences strategic direction</w:t>
            </w:r>
          </w:p>
        </w:tc>
      </w:tr>
      <w:tr w:rsidR="00937FD2" w:rsidRPr="004F7770" w14:paraId="60C0D470" w14:textId="77777777" w:rsidTr="00A35BF3">
        <w:trPr>
          <w:trHeight w:val="1304"/>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51EE8CCD" w14:textId="77777777" w:rsidR="00937FD2" w:rsidRPr="002F57A3" w:rsidRDefault="00937FD2" w:rsidP="001E15E6">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Results</w:t>
            </w:r>
          </w:p>
        </w:tc>
        <w:tc>
          <w:tcPr>
            <w:tcW w:w="1734" w:type="dxa"/>
            <w:gridSpan w:val="2"/>
            <w:tcBorders>
              <w:top w:val="single" w:sz="4" w:space="0" w:color="auto"/>
              <w:left w:val="single" w:sz="4" w:space="0" w:color="auto"/>
              <w:bottom w:val="single" w:sz="4" w:space="0" w:color="auto"/>
              <w:right w:val="single" w:sz="4" w:space="0" w:color="auto"/>
            </w:tcBorders>
            <w:shd w:val="clear" w:color="auto" w:fill="auto"/>
          </w:tcPr>
          <w:p w14:paraId="479C8444" w14:textId="77777777" w:rsidR="00937FD2" w:rsidRPr="00D82650" w:rsidRDefault="00937FD2" w:rsidP="00BA6327">
            <w:pPr>
              <w:spacing w:before="40" w:after="40" w:line="259" w:lineRule="auto"/>
              <w:ind w:firstLine="34"/>
              <w:jc w:val="center"/>
              <w:rPr>
                <w:color w:val="000000" w:themeColor="text1"/>
                <w:sz w:val="19"/>
                <w:szCs w:val="19"/>
              </w:rPr>
            </w:pPr>
            <w:r>
              <w:rPr>
                <w:color w:val="000000" w:themeColor="text1"/>
                <w:sz w:val="19"/>
                <w:szCs w:val="19"/>
              </w:rPr>
              <w:t xml:space="preserve">Complete </w:t>
            </w:r>
            <w:proofErr w:type="gramStart"/>
            <w:r>
              <w:rPr>
                <w:color w:val="000000" w:themeColor="text1"/>
                <w:sz w:val="19"/>
                <w:szCs w:val="19"/>
              </w:rPr>
              <w:t>allocated  tasks</w:t>
            </w:r>
            <w:proofErr w:type="gramEnd"/>
            <w:r>
              <w:rPr>
                <w:color w:val="000000" w:themeColor="text1"/>
                <w:sz w:val="19"/>
                <w:szCs w:val="19"/>
              </w:rPr>
              <w:t>, within required timeframes and compliant with set procedures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A8AFED7"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Set priorities, complete allocated tasks, make decisions within defined parameters relating to the area of responsibility</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215F6BA7"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 xml:space="preserve">Complete allocated tasks, monitor work flow and review work of less experienced employees </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4B1AE92" w14:textId="77777777" w:rsidR="00937FD2" w:rsidRPr="007B6997" w:rsidRDefault="00937FD2" w:rsidP="00BA6327">
            <w:pPr>
              <w:spacing w:before="40" w:after="40" w:line="259" w:lineRule="auto"/>
              <w:rPr>
                <w:color w:val="000000" w:themeColor="text1"/>
                <w:sz w:val="19"/>
                <w:szCs w:val="19"/>
              </w:rPr>
            </w:pPr>
            <w:r>
              <w:rPr>
                <w:color w:val="000000" w:themeColor="text1"/>
                <w:sz w:val="19"/>
                <w:szCs w:val="19"/>
              </w:rPr>
              <w:t xml:space="preserve">Accountable for tasks and decisions. Support less experienced employees to achieve goals by providing guidance and quality assurance </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F830D21"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Set priorities and ensure quality of outputs for the work area</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19B68A8" w14:textId="77777777" w:rsidR="00937FD2" w:rsidRPr="00D82650" w:rsidRDefault="00937FD2" w:rsidP="00BA6327">
            <w:pPr>
              <w:spacing w:before="40" w:after="40" w:line="259" w:lineRule="auto"/>
              <w:ind w:hanging="34"/>
              <w:rPr>
                <w:color w:val="000000" w:themeColor="text1"/>
                <w:sz w:val="19"/>
                <w:szCs w:val="19"/>
              </w:rPr>
            </w:pPr>
            <w:r>
              <w:rPr>
                <w:color w:val="000000" w:themeColor="text1"/>
                <w:sz w:val="19"/>
                <w:szCs w:val="19"/>
              </w:rPr>
              <w:t>Responsible for the achievement of own and team outcomes, monitor team progress and follow through to deliver quality outcomes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320ABB51" w14:textId="77777777" w:rsidR="00937FD2" w:rsidRPr="00DB53F8"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Anticipate and establish priorities, monitor progress and work to deliver agency functions or a program within an area of responsibility</w:t>
            </w:r>
          </w:p>
        </w:tc>
      </w:tr>
      <w:tr w:rsidR="00937FD2" w:rsidRPr="004F7770" w14:paraId="2A11BADC" w14:textId="77777777" w:rsidTr="00A35BF3">
        <w:trPr>
          <w:trHeight w:val="1304"/>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60A2A780" w14:textId="77777777" w:rsidR="00937FD2" w:rsidRPr="002F57A3" w:rsidRDefault="00937FD2" w:rsidP="001E15E6">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Planning</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B00B908" w14:textId="77777777" w:rsidR="00937FD2" w:rsidRDefault="00937FD2" w:rsidP="00BA6327">
            <w:pPr>
              <w:spacing w:before="40" w:after="40" w:line="259" w:lineRule="auto"/>
              <w:rPr>
                <w:color w:val="000000" w:themeColor="text1"/>
                <w:sz w:val="19"/>
                <w:szCs w:val="19"/>
              </w:rPr>
            </w:pPr>
            <w:r>
              <w:rPr>
                <w:color w:val="000000" w:themeColor="text1"/>
                <w:sz w:val="19"/>
                <w:szCs w:val="19"/>
              </w:rPr>
              <w:t>Plan for the achievement of own results</w:t>
            </w:r>
          </w:p>
          <w:p w14:paraId="45C75873" w14:textId="77777777" w:rsidR="00937FD2" w:rsidRPr="00D82650" w:rsidRDefault="00937FD2" w:rsidP="00BA6327">
            <w:pPr>
              <w:spacing w:before="40" w:after="40" w:line="259" w:lineRule="auto"/>
              <w:rPr>
                <w:color w:val="000000" w:themeColor="text1"/>
                <w:sz w:val="19"/>
                <w:szCs w:val="19"/>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0B9906E0" w14:textId="77777777" w:rsidR="00937FD2" w:rsidRDefault="00937FD2" w:rsidP="00BA6327">
            <w:pPr>
              <w:spacing w:before="40" w:after="40" w:line="259" w:lineRule="auto"/>
              <w:rPr>
                <w:color w:val="000000" w:themeColor="text1"/>
                <w:sz w:val="19"/>
                <w:szCs w:val="19"/>
              </w:rPr>
            </w:pPr>
            <w:r>
              <w:rPr>
                <w:color w:val="000000" w:themeColor="text1"/>
                <w:sz w:val="19"/>
                <w:szCs w:val="19"/>
              </w:rPr>
              <w:t>Contribute ideas to the development of work area goals and objectives</w:t>
            </w:r>
          </w:p>
          <w:p w14:paraId="08A983B7" w14:textId="77777777" w:rsidR="00937FD2" w:rsidRPr="00D82650" w:rsidRDefault="00937FD2" w:rsidP="00BA6327">
            <w:pPr>
              <w:spacing w:before="40" w:after="40" w:line="259" w:lineRule="auto"/>
              <w:ind w:firstLine="34"/>
              <w:rPr>
                <w:color w:val="000000" w:themeColor="text1"/>
                <w:sz w:val="19"/>
                <w:szCs w:val="19"/>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A2EA9C4"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Responsible for planning own work goals and priorities that align with and achieve own and team outcomes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1B33BD71" w14:textId="77777777" w:rsidR="00937FD2" w:rsidRPr="00D82650" w:rsidRDefault="00937FD2" w:rsidP="00BA6327">
            <w:pPr>
              <w:spacing w:before="40" w:after="40" w:line="259" w:lineRule="auto"/>
              <w:rPr>
                <w:color w:val="000000" w:themeColor="text1"/>
                <w:sz w:val="19"/>
                <w:szCs w:val="19"/>
              </w:rPr>
            </w:pPr>
            <w:r>
              <w:rPr>
                <w:color w:val="000000" w:themeColor="text1"/>
                <w:sz w:val="19"/>
                <w:szCs w:val="19"/>
              </w:rPr>
              <w:t xml:space="preserve">Participate </w:t>
            </w:r>
            <w:proofErr w:type="gramStart"/>
            <w:r>
              <w:rPr>
                <w:color w:val="000000" w:themeColor="text1"/>
                <w:sz w:val="19"/>
                <w:szCs w:val="19"/>
              </w:rPr>
              <w:t>in  strategic</w:t>
            </w:r>
            <w:proofErr w:type="gramEnd"/>
            <w:r>
              <w:rPr>
                <w:color w:val="000000" w:themeColor="text1"/>
                <w:sz w:val="19"/>
                <w:szCs w:val="19"/>
              </w:rPr>
              <w:t xml:space="preserve"> planning and decision making within the work area</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2AF7477B" w14:textId="77777777" w:rsidR="00937FD2" w:rsidRPr="007B6997" w:rsidRDefault="00937FD2" w:rsidP="00BA6327">
            <w:pPr>
              <w:spacing w:before="40" w:after="40" w:line="259" w:lineRule="auto"/>
              <w:rPr>
                <w:color w:val="000000" w:themeColor="text1"/>
                <w:sz w:val="19"/>
                <w:szCs w:val="19"/>
              </w:rPr>
            </w:pPr>
            <w:r w:rsidRPr="00636C76">
              <w:rPr>
                <w:color w:val="000000" w:themeColor="text1"/>
                <w:sz w:val="19"/>
                <w:szCs w:val="19"/>
              </w:rPr>
              <w:t xml:space="preserve">Develop objectives for short-term tasks and </w:t>
            </w:r>
            <w:r>
              <w:rPr>
                <w:color w:val="000000" w:themeColor="text1"/>
                <w:sz w:val="19"/>
                <w:szCs w:val="19"/>
              </w:rPr>
              <w:t>participate in</w:t>
            </w:r>
            <w:r w:rsidRPr="00636C76">
              <w:rPr>
                <w:color w:val="000000" w:themeColor="text1"/>
                <w:sz w:val="19"/>
                <w:szCs w:val="19"/>
              </w:rPr>
              <w:t xml:space="preserve"> strategic planning for longer-term initiatives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6B7E12B2" w14:textId="77777777" w:rsidR="00937FD2" w:rsidRPr="00636C76"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636C76">
              <w:rPr>
                <w:rFonts w:ascii="Times New Roman" w:hAnsi="Times New Roman"/>
                <w:color w:val="000000" w:themeColor="text1"/>
                <w:sz w:val="19"/>
                <w:szCs w:val="19"/>
              </w:rPr>
              <w:t>Develop objectives for short-term tasks and</w:t>
            </w:r>
            <w:r>
              <w:rPr>
                <w:rFonts w:ascii="Times New Roman" w:hAnsi="Times New Roman"/>
                <w:color w:val="000000" w:themeColor="text1"/>
                <w:sz w:val="19"/>
                <w:szCs w:val="19"/>
              </w:rPr>
              <w:t xml:space="preserve"> contribute to</w:t>
            </w:r>
            <w:r w:rsidRPr="00636C76">
              <w:rPr>
                <w:rFonts w:ascii="Times New Roman" w:hAnsi="Times New Roman"/>
                <w:color w:val="000000" w:themeColor="text1"/>
                <w:sz w:val="19"/>
                <w:szCs w:val="19"/>
              </w:rPr>
              <w:t xml:space="preserve"> strategic planning for longer-term initiatives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5EA02EC6" w14:textId="77777777" w:rsidR="00937FD2" w:rsidRPr="00636C76" w:rsidRDefault="00937FD2" w:rsidP="00BA6327">
            <w:pPr>
              <w:spacing w:before="40" w:after="40" w:line="259" w:lineRule="auto"/>
              <w:ind w:hanging="34"/>
              <w:rPr>
                <w:rFonts w:cs="Times New Roman"/>
                <w:color w:val="000000" w:themeColor="text1"/>
                <w:sz w:val="19"/>
                <w:szCs w:val="19"/>
              </w:rPr>
            </w:pPr>
            <w:r>
              <w:rPr>
                <w:rFonts w:cs="Times New Roman"/>
                <w:color w:val="000000" w:themeColor="text1"/>
                <w:sz w:val="19"/>
                <w:szCs w:val="19"/>
              </w:rPr>
              <w:t>Determine strategic direction for the work area and align longer-term planning with agency goals and objectives</w:t>
            </w:r>
          </w:p>
        </w:tc>
        <w:tc>
          <w:tcPr>
            <w:tcW w:w="1734" w:type="dxa"/>
            <w:tcBorders>
              <w:top w:val="single" w:sz="4" w:space="0" w:color="auto"/>
              <w:left w:val="single" w:sz="4" w:space="0" w:color="auto"/>
              <w:bottom w:val="single" w:sz="4" w:space="0" w:color="auto"/>
              <w:right w:val="single" w:sz="4" w:space="0" w:color="auto"/>
            </w:tcBorders>
            <w:shd w:val="clear" w:color="auto" w:fill="auto"/>
          </w:tcPr>
          <w:p w14:paraId="422F425D" w14:textId="77777777" w:rsidR="00937FD2" w:rsidRPr="00636C76"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464FF1">
              <w:rPr>
                <w:rFonts w:ascii="Times New Roman" w:hAnsi="Times New Roman"/>
                <w:color w:val="000000" w:themeColor="text1"/>
                <w:sz w:val="19"/>
                <w:szCs w:val="19"/>
              </w:rPr>
              <w:t xml:space="preserve">Contribute </w:t>
            </w:r>
            <w:r>
              <w:rPr>
                <w:rFonts w:ascii="Times New Roman" w:hAnsi="Times New Roman"/>
                <w:color w:val="000000" w:themeColor="text1"/>
                <w:sz w:val="19"/>
                <w:szCs w:val="19"/>
              </w:rPr>
              <w:t xml:space="preserve">to agency wide strategic planning. </w:t>
            </w:r>
            <w:r w:rsidRPr="00464FF1">
              <w:rPr>
                <w:rFonts w:ascii="Times New Roman" w:hAnsi="Times New Roman"/>
                <w:color w:val="000000" w:themeColor="text1"/>
                <w:sz w:val="19"/>
                <w:szCs w:val="19"/>
              </w:rPr>
              <w:t xml:space="preserve">Set strategic direction, develop long-term plans and implement strategies </w:t>
            </w:r>
            <w:r>
              <w:rPr>
                <w:rFonts w:ascii="Times New Roman" w:hAnsi="Times New Roman"/>
                <w:color w:val="000000" w:themeColor="text1"/>
                <w:sz w:val="19"/>
                <w:szCs w:val="19"/>
              </w:rPr>
              <w:t>for work area</w:t>
            </w:r>
          </w:p>
        </w:tc>
      </w:tr>
    </w:tbl>
    <w:p w14:paraId="053A51EF" w14:textId="77777777" w:rsidR="00673232" w:rsidRDefault="00673232" w:rsidP="00847B9E">
      <w:pPr>
        <w:spacing w:after="0" w:line="276" w:lineRule="auto"/>
        <w:sectPr w:rsidR="00673232" w:rsidSect="00A75600">
          <w:footerReference w:type="default" r:id="rId12"/>
          <w:pgSz w:w="16838" w:h="11906" w:orient="landscape" w:code="9"/>
          <w:pgMar w:top="0" w:right="794" w:bottom="567" w:left="794" w:header="284" w:footer="0" w:gutter="0"/>
          <w:pgBorders w:offsetFrom="page">
            <w:top w:val="none" w:sz="0" w:space="0" w:color="000000"/>
            <w:left w:val="none" w:sz="0" w:space="0" w:color="00FF00"/>
            <w:bottom w:val="none" w:sz="0" w:space="0" w:color="00FF00"/>
            <w:right w:val="none" w:sz="0" w:space="0" w:color="00FF00"/>
          </w:pgBorders>
          <w:cols w:space="720"/>
          <w:titlePg/>
          <w:docGrid w:linePitch="299"/>
        </w:sectPr>
      </w:pPr>
    </w:p>
    <w:tbl>
      <w:tblPr>
        <w:tblStyle w:val="TableGrid"/>
        <w:tblW w:w="15309" w:type="dxa"/>
        <w:tblInd w:w="85" w:type="dxa"/>
        <w:tblLayout w:type="fixed"/>
        <w:tblCellMar>
          <w:top w:w="28" w:type="dxa"/>
          <w:left w:w="57" w:type="dxa"/>
          <w:bottom w:w="28" w:type="dxa"/>
          <w:right w:w="85" w:type="dxa"/>
        </w:tblCellMar>
        <w:tblLook w:val="04A0" w:firstRow="1" w:lastRow="0" w:firstColumn="1" w:lastColumn="0" w:noHBand="0" w:noVBand="1"/>
        <w:tblCaption w:val="Differences table (continued)"/>
      </w:tblPr>
      <w:tblGrid>
        <w:gridCol w:w="1439"/>
        <w:gridCol w:w="1733"/>
        <w:gridCol w:w="1733"/>
        <w:gridCol w:w="1734"/>
        <w:gridCol w:w="1734"/>
        <w:gridCol w:w="1734"/>
        <w:gridCol w:w="1734"/>
        <w:gridCol w:w="1734"/>
        <w:gridCol w:w="1734"/>
      </w:tblGrid>
      <w:tr w:rsidR="00602C54" w:rsidRPr="00C62037" w14:paraId="1D538F5C" w14:textId="77777777" w:rsidTr="00BA6327">
        <w:trPr>
          <w:trHeight w:val="284"/>
          <w:tblHeader/>
        </w:trPr>
        <w:tc>
          <w:tcPr>
            <w:tcW w:w="1439" w:type="dxa"/>
            <w:shd w:val="clear" w:color="auto" w:fill="92278F"/>
            <w:vAlign w:val="center"/>
          </w:tcPr>
          <w:p w14:paraId="2965E04B" w14:textId="77777777" w:rsidR="00461ED0" w:rsidRPr="00C62037" w:rsidRDefault="00461ED0" w:rsidP="005F161D">
            <w:pPr>
              <w:spacing w:before="40" w:after="40" w:line="264" w:lineRule="auto"/>
              <w:jc w:val="center"/>
              <w:rPr>
                <w:rFonts w:ascii="Arial" w:hAnsi="Arial" w:cs="Arial"/>
                <w:b/>
                <w:color w:val="FFFFFF" w:themeColor="background1"/>
              </w:rPr>
            </w:pPr>
          </w:p>
        </w:tc>
        <w:tc>
          <w:tcPr>
            <w:tcW w:w="1733" w:type="dxa"/>
            <w:shd w:val="clear" w:color="auto" w:fill="92278F"/>
            <w:vAlign w:val="center"/>
          </w:tcPr>
          <w:p w14:paraId="445A6600"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1</w:t>
            </w:r>
          </w:p>
        </w:tc>
        <w:tc>
          <w:tcPr>
            <w:tcW w:w="1733" w:type="dxa"/>
            <w:shd w:val="clear" w:color="auto" w:fill="92278F"/>
            <w:vAlign w:val="center"/>
          </w:tcPr>
          <w:p w14:paraId="5B07F626"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2</w:t>
            </w:r>
          </w:p>
        </w:tc>
        <w:tc>
          <w:tcPr>
            <w:tcW w:w="1734" w:type="dxa"/>
            <w:shd w:val="clear" w:color="auto" w:fill="92278F"/>
            <w:vAlign w:val="center"/>
          </w:tcPr>
          <w:p w14:paraId="5B7AFC13"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3</w:t>
            </w:r>
          </w:p>
        </w:tc>
        <w:tc>
          <w:tcPr>
            <w:tcW w:w="1734" w:type="dxa"/>
            <w:shd w:val="clear" w:color="auto" w:fill="92278F"/>
            <w:vAlign w:val="center"/>
          </w:tcPr>
          <w:p w14:paraId="182550CD"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4</w:t>
            </w:r>
          </w:p>
        </w:tc>
        <w:tc>
          <w:tcPr>
            <w:tcW w:w="1734" w:type="dxa"/>
            <w:shd w:val="clear" w:color="auto" w:fill="92278F"/>
            <w:vAlign w:val="center"/>
          </w:tcPr>
          <w:p w14:paraId="6A999187"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5</w:t>
            </w:r>
          </w:p>
        </w:tc>
        <w:tc>
          <w:tcPr>
            <w:tcW w:w="1734" w:type="dxa"/>
            <w:shd w:val="clear" w:color="auto" w:fill="92278F"/>
            <w:vAlign w:val="center"/>
          </w:tcPr>
          <w:p w14:paraId="2070C5B5"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APS 6</w:t>
            </w:r>
          </w:p>
        </w:tc>
        <w:tc>
          <w:tcPr>
            <w:tcW w:w="1734" w:type="dxa"/>
            <w:shd w:val="clear" w:color="auto" w:fill="90BB43"/>
            <w:vAlign w:val="center"/>
          </w:tcPr>
          <w:p w14:paraId="215D662E"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EL 1</w:t>
            </w:r>
          </w:p>
        </w:tc>
        <w:tc>
          <w:tcPr>
            <w:tcW w:w="1734" w:type="dxa"/>
            <w:shd w:val="clear" w:color="auto" w:fill="90BB43"/>
            <w:vAlign w:val="center"/>
          </w:tcPr>
          <w:p w14:paraId="1725B9BF" w14:textId="77777777" w:rsidR="00461ED0" w:rsidRPr="00C62037" w:rsidRDefault="00461ED0" w:rsidP="005F161D">
            <w:pPr>
              <w:spacing w:before="40" w:after="40" w:line="264" w:lineRule="auto"/>
              <w:jc w:val="center"/>
              <w:rPr>
                <w:rFonts w:ascii="Arial" w:hAnsi="Arial" w:cs="Arial"/>
                <w:b/>
                <w:color w:val="FFFFFF" w:themeColor="background1"/>
              </w:rPr>
            </w:pPr>
            <w:r>
              <w:rPr>
                <w:rFonts w:ascii="Arial" w:hAnsi="Arial" w:cs="Arial"/>
                <w:b/>
                <w:color w:val="FFFFFF" w:themeColor="background1"/>
              </w:rPr>
              <w:t>EL 2</w:t>
            </w:r>
          </w:p>
        </w:tc>
      </w:tr>
      <w:tr w:rsidR="00937FD2" w:rsidRPr="004F7770" w14:paraId="24239019" w14:textId="77777777" w:rsidTr="005F161D">
        <w:trPr>
          <w:trHeight w:val="2249"/>
        </w:trPr>
        <w:tc>
          <w:tcPr>
            <w:tcW w:w="1439" w:type="dxa"/>
            <w:shd w:val="clear" w:color="auto" w:fill="auto"/>
          </w:tcPr>
          <w:p w14:paraId="29AF6E07"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Innovation, Change &amp; Business Improvement</w:t>
            </w:r>
          </w:p>
        </w:tc>
        <w:tc>
          <w:tcPr>
            <w:tcW w:w="1733" w:type="dxa"/>
            <w:shd w:val="clear" w:color="auto" w:fill="auto"/>
          </w:tcPr>
          <w:p w14:paraId="4A1CBF76" w14:textId="77777777" w:rsidR="00937FD2" w:rsidRPr="005F161D" w:rsidRDefault="00937FD2" w:rsidP="00BA6327">
            <w:pPr>
              <w:spacing w:before="40" w:after="40" w:line="259" w:lineRule="auto"/>
              <w:rPr>
                <w:rFonts w:cs="Times New Roman"/>
                <w:sz w:val="19"/>
                <w:szCs w:val="19"/>
              </w:rPr>
            </w:pPr>
            <w:r w:rsidRPr="005F161D">
              <w:rPr>
                <w:rFonts w:cs="Times New Roman"/>
                <w:sz w:val="19"/>
                <w:szCs w:val="19"/>
              </w:rPr>
              <w:t xml:space="preserve">Participate in the implementation of change and contribute to the improvement of quality and efficiency </w:t>
            </w:r>
            <w:r w:rsidR="005F161D">
              <w:rPr>
                <w:rFonts w:cs="Times New Roman"/>
                <w:sz w:val="19"/>
                <w:szCs w:val="19"/>
              </w:rPr>
              <w:t>of services and work processes</w:t>
            </w:r>
          </w:p>
        </w:tc>
        <w:tc>
          <w:tcPr>
            <w:tcW w:w="1733" w:type="dxa"/>
            <w:shd w:val="clear" w:color="auto" w:fill="auto"/>
          </w:tcPr>
          <w:p w14:paraId="4BE9DF31"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Contribute ideas and participate in the implementa</w:t>
            </w:r>
            <w:r w:rsidR="00154B37">
              <w:rPr>
                <w:rFonts w:cs="Times New Roman"/>
                <w:color w:val="000000" w:themeColor="text1"/>
                <w:sz w:val="19"/>
                <w:szCs w:val="19"/>
              </w:rPr>
              <w:t>tion of change in the workplace</w:t>
            </w:r>
          </w:p>
        </w:tc>
        <w:tc>
          <w:tcPr>
            <w:tcW w:w="1734" w:type="dxa"/>
            <w:shd w:val="clear" w:color="auto" w:fill="auto"/>
          </w:tcPr>
          <w:p w14:paraId="6624460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Contribute to the improvement of quality and efficiency of services</w:t>
            </w:r>
          </w:p>
        </w:tc>
        <w:tc>
          <w:tcPr>
            <w:tcW w:w="1734" w:type="dxa"/>
            <w:shd w:val="clear" w:color="auto" w:fill="auto"/>
          </w:tcPr>
          <w:p w14:paraId="189F2B40"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Contribute new ideas and identify opportunities to improve the efficiency of business processes</w:t>
            </w:r>
          </w:p>
        </w:tc>
        <w:tc>
          <w:tcPr>
            <w:tcW w:w="1734" w:type="dxa"/>
            <w:shd w:val="clear" w:color="auto" w:fill="auto"/>
          </w:tcPr>
          <w:p w14:paraId="2D4AEC46"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Apply innovative initiatives and contribute to change and to the improvement in quality and efficiency of services</w:t>
            </w:r>
          </w:p>
        </w:tc>
        <w:tc>
          <w:tcPr>
            <w:tcW w:w="1734" w:type="dxa"/>
            <w:shd w:val="clear" w:color="auto" w:fill="auto"/>
          </w:tcPr>
          <w:p w14:paraId="2E5711D9"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Propose and facilitate innovation initiatives and contribute to business improvement strategies and change in the workplace</w:t>
            </w:r>
          </w:p>
        </w:tc>
        <w:tc>
          <w:tcPr>
            <w:tcW w:w="1734" w:type="dxa"/>
            <w:tcBorders>
              <w:bottom w:val="single" w:sz="4" w:space="0" w:color="auto"/>
            </w:tcBorders>
            <w:shd w:val="clear" w:color="auto" w:fill="auto"/>
          </w:tcPr>
          <w:p w14:paraId="5D54723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Generate new ideas approaches and strategies. Implement change and business improvement strategies in the workplace</w:t>
            </w:r>
          </w:p>
        </w:tc>
        <w:tc>
          <w:tcPr>
            <w:tcW w:w="1734" w:type="dxa"/>
            <w:shd w:val="clear" w:color="auto" w:fill="auto"/>
          </w:tcPr>
          <w:p w14:paraId="0BADC321"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Identify and lead innovation solutions. Provide leadership in implementing and promoting change and continuous improvement in the workplace</w:t>
            </w:r>
          </w:p>
        </w:tc>
      </w:tr>
      <w:tr w:rsidR="00937FD2" w:rsidRPr="004F7770" w14:paraId="6AB4E490" w14:textId="77777777" w:rsidTr="005F161D">
        <w:trPr>
          <w:trHeight w:val="1205"/>
        </w:trPr>
        <w:tc>
          <w:tcPr>
            <w:tcW w:w="1439" w:type="dxa"/>
            <w:shd w:val="clear" w:color="auto" w:fill="auto"/>
          </w:tcPr>
          <w:p w14:paraId="035BD106"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Risk Management</w:t>
            </w:r>
          </w:p>
        </w:tc>
        <w:tc>
          <w:tcPr>
            <w:tcW w:w="3466" w:type="dxa"/>
            <w:gridSpan w:val="2"/>
            <w:shd w:val="clear" w:color="auto" w:fill="auto"/>
          </w:tcPr>
          <w:p w14:paraId="746E80A9" w14:textId="77777777" w:rsidR="005F161D" w:rsidRPr="005F161D" w:rsidRDefault="00937FD2" w:rsidP="00BA6327">
            <w:pPr>
              <w:spacing w:before="40" w:after="40" w:line="259" w:lineRule="auto"/>
              <w:jc w:val="center"/>
              <w:rPr>
                <w:rFonts w:cs="Times New Roman"/>
                <w:color w:val="000000" w:themeColor="text1"/>
                <w:sz w:val="19"/>
                <w:szCs w:val="19"/>
              </w:rPr>
            </w:pPr>
            <w:r w:rsidRPr="005F161D">
              <w:rPr>
                <w:rFonts w:cs="Times New Roman"/>
                <w:color w:val="000000" w:themeColor="text1"/>
                <w:sz w:val="19"/>
                <w:szCs w:val="19"/>
              </w:rPr>
              <w:t xml:space="preserve">Identify and manage risks that affect </w:t>
            </w:r>
          </w:p>
          <w:p w14:paraId="4E4AB70C" w14:textId="77777777" w:rsidR="00937FD2" w:rsidRPr="005F161D" w:rsidRDefault="00937FD2" w:rsidP="00BA6327">
            <w:pPr>
              <w:spacing w:before="40" w:after="40" w:line="259" w:lineRule="auto"/>
              <w:jc w:val="center"/>
              <w:rPr>
                <w:rFonts w:cs="Times New Roman"/>
                <w:color w:val="000000" w:themeColor="text1"/>
                <w:sz w:val="19"/>
                <w:szCs w:val="19"/>
              </w:rPr>
            </w:pPr>
            <w:r w:rsidRPr="005F161D">
              <w:rPr>
                <w:rFonts w:cs="Times New Roman"/>
                <w:color w:val="000000" w:themeColor="text1"/>
                <w:sz w:val="19"/>
                <w:szCs w:val="19"/>
              </w:rPr>
              <w:t>day-to-day tasks</w:t>
            </w:r>
          </w:p>
        </w:tc>
        <w:tc>
          <w:tcPr>
            <w:tcW w:w="1734" w:type="dxa"/>
            <w:shd w:val="clear" w:color="auto" w:fill="auto"/>
          </w:tcPr>
          <w:p w14:paraId="235D37AE"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Perform risk analysis activities and develop compliance strategies</w:t>
            </w:r>
          </w:p>
        </w:tc>
        <w:tc>
          <w:tcPr>
            <w:tcW w:w="1734" w:type="dxa"/>
            <w:shd w:val="clear" w:color="auto" w:fill="auto"/>
          </w:tcPr>
          <w:p w14:paraId="4A2DCC67"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Identify and mitigate risks which impact of own and team outcomes</w:t>
            </w:r>
          </w:p>
        </w:tc>
        <w:tc>
          <w:tcPr>
            <w:tcW w:w="1734" w:type="dxa"/>
            <w:shd w:val="clear" w:color="auto" w:fill="auto"/>
          </w:tcPr>
          <w:p w14:paraId="5A075C1D"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Assist with maintaining risk management programs</w:t>
            </w:r>
          </w:p>
        </w:tc>
        <w:tc>
          <w:tcPr>
            <w:tcW w:w="1734" w:type="dxa"/>
            <w:shd w:val="clear" w:color="auto" w:fill="auto"/>
          </w:tcPr>
          <w:p w14:paraId="6765B66D"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Perform quality assurance of risks and treatments for area of responsibility</w:t>
            </w:r>
          </w:p>
        </w:tc>
        <w:tc>
          <w:tcPr>
            <w:tcW w:w="1734" w:type="dxa"/>
          </w:tcPr>
          <w:p w14:paraId="44145109"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Undertake risk management and assessment activities for area of responsibility</w:t>
            </w:r>
          </w:p>
        </w:tc>
        <w:tc>
          <w:tcPr>
            <w:tcW w:w="1734" w:type="dxa"/>
            <w:shd w:val="clear" w:color="auto" w:fill="auto"/>
          </w:tcPr>
          <w:p w14:paraId="5A758D27" w14:textId="77777777" w:rsidR="00937FD2" w:rsidRPr="005F161D" w:rsidRDefault="00B6648B" w:rsidP="00B6648B">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Pr>
                <w:rFonts w:ascii="Times New Roman" w:hAnsi="Times New Roman"/>
                <w:color w:val="000000" w:themeColor="text1"/>
                <w:sz w:val="19"/>
                <w:szCs w:val="19"/>
              </w:rPr>
              <w:t xml:space="preserve">Identify and manage risk </w:t>
            </w:r>
            <w:r w:rsidR="00937FD2" w:rsidRPr="005F161D">
              <w:rPr>
                <w:rFonts w:ascii="Times New Roman" w:hAnsi="Times New Roman"/>
                <w:color w:val="000000" w:themeColor="text1"/>
                <w:sz w:val="19"/>
                <w:szCs w:val="19"/>
              </w:rPr>
              <w:t>in all areas of decision-making</w:t>
            </w:r>
          </w:p>
        </w:tc>
      </w:tr>
      <w:tr w:rsidR="00937FD2" w:rsidRPr="004F7770" w14:paraId="5E8A3ADF" w14:textId="77777777" w:rsidTr="005F161D">
        <w:trPr>
          <w:trHeight w:val="1378"/>
        </w:trPr>
        <w:tc>
          <w:tcPr>
            <w:tcW w:w="1439" w:type="dxa"/>
            <w:shd w:val="clear" w:color="auto" w:fill="auto"/>
          </w:tcPr>
          <w:p w14:paraId="38B14885"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Complexity</w:t>
            </w:r>
          </w:p>
        </w:tc>
        <w:tc>
          <w:tcPr>
            <w:tcW w:w="1733" w:type="dxa"/>
            <w:shd w:val="clear" w:color="auto" w:fill="auto"/>
          </w:tcPr>
          <w:p w14:paraId="0437F8D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basic and routine tasks</w:t>
            </w:r>
          </w:p>
        </w:tc>
        <w:tc>
          <w:tcPr>
            <w:tcW w:w="1733" w:type="dxa"/>
            <w:shd w:val="clear" w:color="auto" w:fill="auto"/>
          </w:tcPr>
          <w:p w14:paraId="72527133"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straightforward tasks</w:t>
            </w:r>
          </w:p>
        </w:tc>
        <w:tc>
          <w:tcPr>
            <w:tcW w:w="1734" w:type="dxa"/>
            <w:shd w:val="clear" w:color="auto" w:fill="auto"/>
          </w:tcPr>
          <w:p w14:paraId="5FCD9F98"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straightforward tasks. Some tasks may have an element of complexity</w:t>
            </w:r>
          </w:p>
        </w:tc>
        <w:tc>
          <w:tcPr>
            <w:tcW w:w="1734" w:type="dxa"/>
            <w:shd w:val="clear" w:color="auto" w:fill="auto"/>
          </w:tcPr>
          <w:p w14:paraId="6E7083F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tasks of moderate complexity</w:t>
            </w:r>
          </w:p>
        </w:tc>
        <w:tc>
          <w:tcPr>
            <w:tcW w:w="1734" w:type="dxa"/>
            <w:shd w:val="clear" w:color="auto" w:fill="auto"/>
          </w:tcPr>
          <w:p w14:paraId="6D83EE07"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work that is moderately complex to complex in nature</w:t>
            </w:r>
          </w:p>
        </w:tc>
        <w:tc>
          <w:tcPr>
            <w:tcW w:w="1734" w:type="dxa"/>
            <w:shd w:val="clear" w:color="auto" w:fill="auto"/>
          </w:tcPr>
          <w:p w14:paraId="794F6512"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Required to undertake work that is complex in nature</w:t>
            </w:r>
          </w:p>
        </w:tc>
        <w:tc>
          <w:tcPr>
            <w:tcW w:w="1734" w:type="dxa"/>
            <w:shd w:val="clear" w:color="auto" w:fill="auto"/>
          </w:tcPr>
          <w:p w14:paraId="75E55E58"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Required to undertake work that is very complex or sensitive</w:t>
            </w:r>
          </w:p>
        </w:tc>
        <w:tc>
          <w:tcPr>
            <w:tcW w:w="1734" w:type="dxa"/>
            <w:shd w:val="clear" w:color="auto" w:fill="auto"/>
          </w:tcPr>
          <w:p w14:paraId="7B614B14"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Required to undertake work with a high level of complexity or sensitivity</w:t>
            </w:r>
          </w:p>
        </w:tc>
      </w:tr>
      <w:tr w:rsidR="00937FD2" w:rsidRPr="004F7770" w14:paraId="067A74C3" w14:textId="77777777" w:rsidTr="005F161D">
        <w:trPr>
          <w:trHeight w:val="1994"/>
        </w:trPr>
        <w:tc>
          <w:tcPr>
            <w:tcW w:w="1439" w:type="dxa"/>
            <w:shd w:val="clear" w:color="auto" w:fill="auto"/>
          </w:tcPr>
          <w:p w14:paraId="7801598C"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Legislation</w:t>
            </w:r>
          </w:p>
        </w:tc>
        <w:tc>
          <w:tcPr>
            <w:tcW w:w="3466" w:type="dxa"/>
            <w:gridSpan w:val="2"/>
            <w:shd w:val="clear" w:color="auto" w:fill="auto"/>
          </w:tcPr>
          <w:p w14:paraId="66D53636" w14:textId="77777777" w:rsidR="00937FD2" w:rsidRPr="005F161D" w:rsidRDefault="00937FD2" w:rsidP="00BA6327">
            <w:pPr>
              <w:spacing w:before="40" w:after="40" w:line="259" w:lineRule="auto"/>
              <w:jc w:val="center"/>
              <w:rPr>
                <w:rFonts w:cs="Times New Roman"/>
                <w:color w:val="000000" w:themeColor="text1"/>
                <w:sz w:val="19"/>
                <w:szCs w:val="19"/>
              </w:rPr>
            </w:pPr>
            <w:proofErr w:type="gramStart"/>
            <w:r w:rsidRPr="005F161D">
              <w:rPr>
                <w:rFonts w:cs="Times New Roman"/>
                <w:sz w:val="19"/>
                <w:szCs w:val="19"/>
              </w:rPr>
              <w:t>Have basic understanding of</w:t>
            </w:r>
            <w:proofErr w:type="gramEnd"/>
            <w:r w:rsidRPr="005F161D">
              <w:rPr>
                <w:rFonts w:cs="Times New Roman"/>
                <w:sz w:val="19"/>
                <w:szCs w:val="19"/>
              </w:rPr>
              <w:t xml:space="preserve"> relevant legislation and policy frameworks</w:t>
            </w:r>
          </w:p>
        </w:tc>
        <w:tc>
          <w:tcPr>
            <w:tcW w:w="1734" w:type="dxa"/>
            <w:shd w:val="clear" w:color="auto" w:fill="auto"/>
          </w:tcPr>
          <w:p w14:paraId="1C8D9441" w14:textId="77777777" w:rsidR="00937FD2" w:rsidRPr="005F161D" w:rsidRDefault="00937FD2" w:rsidP="00BA6327">
            <w:pPr>
              <w:spacing w:before="40" w:after="40" w:line="259" w:lineRule="auto"/>
              <w:rPr>
                <w:rFonts w:cs="Times New Roman"/>
                <w:color w:val="000000" w:themeColor="text1"/>
                <w:sz w:val="19"/>
                <w:szCs w:val="19"/>
              </w:rPr>
            </w:pPr>
            <w:proofErr w:type="gramStart"/>
            <w:r w:rsidRPr="005F161D">
              <w:rPr>
                <w:rFonts w:cs="Times New Roman"/>
                <w:color w:val="000000" w:themeColor="text1"/>
                <w:sz w:val="19"/>
                <w:szCs w:val="19"/>
              </w:rPr>
              <w:t xml:space="preserve">Understand </w:t>
            </w:r>
            <w:r w:rsidRPr="005F161D">
              <w:rPr>
                <w:rFonts w:cs="Times New Roman"/>
                <w:sz w:val="19"/>
                <w:szCs w:val="19"/>
              </w:rPr>
              <w:t xml:space="preserve"> relevant</w:t>
            </w:r>
            <w:proofErr w:type="gramEnd"/>
            <w:r w:rsidRPr="005F161D">
              <w:rPr>
                <w:rFonts w:cs="Times New Roman"/>
                <w:sz w:val="19"/>
                <w:szCs w:val="19"/>
              </w:rPr>
              <w:t xml:space="preserve"> legislation and policy frameworks</w:t>
            </w:r>
          </w:p>
        </w:tc>
        <w:tc>
          <w:tcPr>
            <w:tcW w:w="1734" w:type="dxa"/>
            <w:shd w:val="clear" w:color="auto" w:fill="auto"/>
          </w:tcPr>
          <w:p w14:paraId="7E7D44E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Have a good understanding of relevant legislation and policy frameworks</w:t>
            </w:r>
          </w:p>
        </w:tc>
        <w:tc>
          <w:tcPr>
            <w:tcW w:w="1734" w:type="dxa"/>
            <w:shd w:val="clear" w:color="auto" w:fill="auto"/>
          </w:tcPr>
          <w:p w14:paraId="26C909BE"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Maintain a well-developed understanding of relevant legislation and policy frameworks</w:t>
            </w:r>
          </w:p>
        </w:tc>
        <w:tc>
          <w:tcPr>
            <w:tcW w:w="1734" w:type="dxa"/>
            <w:shd w:val="clear" w:color="auto" w:fill="auto"/>
          </w:tcPr>
          <w:p w14:paraId="09877DF1"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sz w:val="19"/>
                <w:szCs w:val="19"/>
              </w:rPr>
              <w:t>Have an in-depth understanding of and compliance with relevant legislation and policy frameworks</w:t>
            </w:r>
          </w:p>
        </w:tc>
        <w:tc>
          <w:tcPr>
            <w:tcW w:w="1734" w:type="dxa"/>
            <w:shd w:val="clear" w:color="auto" w:fill="auto"/>
          </w:tcPr>
          <w:p w14:paraId="2DF737B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Have an extensive understanding and compliance with</w:t>
            </w:r>
            <w:r w:rsidRPr="005F161D">
              <w:rPr>
                <w:rFonts w:cs="Times New Roman"/>
                <w:sz w:val="19"/>
                <w:szCs w:val="19"/>
              </w:rPr>
              <w:t xml:space="preserve"> relevant legislation and policy frameworks</w:t>
            </w:r>
          </w:p>
        </w:tc>
        <w:tc>
          <w:tcPr>
            <w:tcW w:w="1734" w:type="dxa"/>
            <w:shd w:val="clear" w:color="auto" w:fill="auto"/>
          </w:tcPr>
          <w:p w14:paraId="0020D43A"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 xml:space="preserve">Have an excellent understanding and articulate </w:t>
            </w:r>
            <w:r w:rsidRPr="005F161D">
              <w:rPr>
                <w:rFonts w:ascii="Times New Roman" w:hAnsi="Times New Roman"/>
                <w:sz w:val="19"/>
                <w:szCs w:val="19"/>
              </w:rPr>
              <w:t xml:space="preserve">legislative, financial and administrative frameworks and government decision-making </w:t>
            </w:r>
          </w:p>
        </w:tc>
      </w:tr>
      <w:tr w:rsidR="00937FD2" w:rsidRPr="004F7770" w14:paraId="42DBD6F5" w14:textId="77777777" w:rsidTr="005F161D">
        <w:trPr>
          <w:trHeight w:val="1304"/>
        </w:trPr>
        <w:tc>
          <w:tcPr>
            <w:tcW w:w="1439" w:type="dxa"/>
            <w:shd w:val="clear" w:color="auto" w:fill="auto"/>
          </w:tcPr>
          <w:p w14:paraId="22DE1F74"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Guidance</w:t>
            </w:r>
          </w:p>
        </w:tc>
        <w:tc>
          <w:tcPr>
            <w:tcW w:w="1733" w:type="dxa"/>
            <w:shd w:val="clear" w:color="auto" w:fill="auto"/>
          </w:tcPr>
          <w:p w14:paraId="3E697959"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Works under close supervision and direction against clearly defined and </w:t>
            </w:r>
            <w:proofErr w:type="gramStart"/>
            <w:r w:rsidRPr="005F161D">
              <w:rPr>
                <w:rFonts w:cs="Times New Roman"/>
                <w:color w:val="000000" w:themeColor="text1"/>
                <w:sz w:val="19"/>
                <w:szCs w:val="19"/>
              </w:rPr>
              <w:t>established  priorities</w:t>
            </w:r>
            <w:proofErr w:type="gramEnd"/>
            <w:r w:rsidRPr="005F161D">
              <w:rPr>
                <w:rFonts w:cs="Times New Roman"/>
                <w:color w:val="000000" w:themeColor="text1"/>
                <w:sz w:val="19"/>
                <w:szCs w:val="19"/>
              </w:rPr>
              <w:t xml:space="preserve"> and procedures</w:t>
            </w:r>
          </w:p>
        </w:tc>
        <w:tc>
          <w:tcPr>
            <w:tcW w:w="1733" w:type="dxa"/>
            <w:shd w:val="clear" w:color="auto" w:fill="auto"/>
          </w:tcPr>
          <w:p w14:paraId="6F61149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Works under direct guidance against establi</w:t>
            </w:r>
            <w:r w:rsidR="00154B37">
              <w:rPr>
                <w:rFonts w:cs="Times New Roman"/>
                <w:color w:val="000000" w:themeColor="text1"/>
                <w:sz w:val="19"/>
                <w:szCs w:val="19"/>
              </w:rPr>
              <w:t>shed priorities and procedures</w:t>
            </w:r>
          </w:p>
        </w:tc>
        <w:tc>
          <w:tcPr>
            <w:tcW w:w="1734" w:type="dxa"/>
            <w:shd w:val="clear" w:color="auto" w:fill="auto"/>
          </w:tcPr>
          <w:p w14:paraId="7A5F2743"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Works under general supervision and direction against established </w:t>
            </w:r>
            <w:r w:rsidR="00B6648B">
              <w:rPr>
                <w:rFonts w:cs="Times New Roman"/>
                <w:sz w:val="19"/>
                <w:szCs w:val="19"/>
              </w:rPr>
              <w:t xml:space="preserve">priorities </w:t>
            </w:r>
            <w:r w:rsidRPr="005F161D">
              <w:rPr>
                <w:rFonts w:cs="Times New Roman"/>
                <w:sz w:val="19"/>
                <w:szCs w:val="19"/>
              </w:rPr>
              <w:t>and procedures. Exercise some autonomy about how work tasks are performed</w:t>
            </w:r>
          </w:p>
        </w:tc>
        <w:tc>
          <w:tcPr>
            <w:tcW w:w="1734" w:type="dxa"/>
            <w:shd w:val="clear" w:color="auto" w:fill="auto"/>
          </w:tcPr>
          <w:p w14:paraId="2F7229DB"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Works under general direction. Exercises some discretion with respect to how procedures and guidelines and interpreted and applied</w:t>
            </w:r>
          </w:p>
        </w:tc>
        <w:tc>
          <w:tcPr>
            <w:tcW w:w="1734" w:type="dxa"/>
            <w:shd w:val="clear" w:color="auto" w:fill="auto"/>
          </w:tcPr>
          <w:p w14:paraId="49BC7B6B"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Works under limited </w:t>
            </w:r>
            <w:proofErr w:type="gramStart"/>
            <w:r w:rsidRPr="005F161D">
              <w:rPr>
                <w:rFonts w:cs="Times New Roman"/>
                <w:color w:val="000000" w:themeColor="text1"/>
                <w:sz w:val="19"/>
                <w:szCs w:val="19"/>
              </w:rPr>
              <w:t>direction  and</w:t>
            </w:r>
            <w:proofErr w:type="gramEnd"/>
            <w:r w:rsidRPr="005F161D">
              <w:rPr>
                <w:rFonts w:cs="Times New Roman"/>
                <w:color w:val="000000" w:themeColor="text1"/>
                <w:sz w:val="19"/>
                <w:szCs w:val="19"/>
              </w:rPr>
              <w:t xml:space="preserve"> makes independent decisions relating to an area of responsibility</w:t>
            </w:r>
          </w:p>
        </w:tc>
        <w:tc>
          <w:tcPr>
            <w:tcW w:w="1734" w:type="dxa"/>
            <w:shd w:val="clear" w:color="auto" w:fill="auto"/>
          </w:tcPr>
          <w:p w14:paraId="5ED78EF0"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Works under limited direction with opportunity for autonomy and accountability in interpreting policy and the application of practices and procedures</w:t>
            </w:r>
          </w:p>
        </w:tc>
        <w:tc>
          <w:tcPr>
            <w:tcW w:w="1734" w:type="dxa"/>
            <w:shd w:val="clear" w:color="auto" w:fill="auto"/>
          </w:tcPr>
          <w:p w14:paraId="0E936994"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Operates under broad direction exercising a considerable degree of independence</w:t>
            </w:r>
          </w:p>
          <w:p w14:paraId="484604D1" w14:textId="77777777" w:rsidR="00937FD2" w:rsidRPr="005F161D" w:rsidRDefault="00937FD2" w:rsidP="00BA6327">
            <w:pPr>
              <w:spacing w:before="40" w:after="40" w:line="259" w:lineRule="auto"/>
              <w:rPr>
                <w:rFonts w:cs="Times New Roman"/>
                <w:color w:val="000000" w:themeColor="text1"/>
                <w:sz w:val="19"/>
                <w:szCs w:val="19"/>
              </w:rPr>
            </w:pPr>
          </w:p>
        </w:tc>
        <w:tc>
          <w:tcPr>
            <w:tcW w:w="1734" w:type="dxa"/>
            <w:shd w:val="clear" w:color="auto" w:fill="auto"/>
          </w:tcPr>
          <w:p w14:paraId="4133ACA7"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Operates under broad direction and exercises a significant degree of independence</w:t>
            </w:r>
          </w:p>
          <w:p w14:paraId="76735DA1"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p>
        </w:tc>
      </w:tr>
      <w:tr w:rsidR="00937FD2" w:rsidRPr="004F7770" w14:paraId="3B85B77D" w14:textId="77777777" w:rsidTr="005F161D">
        <w:trPr>
          <w:trHeight w:val="3383"/>
        </w:trPr>
        <w:tc>
          <w:tcPr>
            <w:tcW w:w="1439" w:type="dxa"/>
            <w:shd w:val="clear" w:color="auto" w:fill="auto"/>
          </w:tcPr>
          <w:p w14:paraId="06D25D62"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lastRenderedPageBreak/>
              <w:t>Decisions</w:t>
            </w:r>
          </w:p>
        </w:tc>
        <w:tc>
          <w:tcPr>
            <w:tcW w:w="1733" w:type="dxa"/>
            <w:shd w:val="clear" w:color="auto" w:fill="auto"/>
          </w:tcPr>
          <w:p w14:paraId="4F552D0D"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Make decisions that are based on defined outcomes, priorities and performance standards</w:t>
            </w:r>
          </w:p>
        </w:tc>
        <w:tc>
          <w:tcPr>
            <w:tcW w:w="1733" w:type="dxa"/>
            <w:shd w:val="clear" w:color="auto" w:fill="auto"/>
          </w:tcPr>
          <w:p w14:paraId="11AE2B4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Make decisions of a procedural or administrative nature </w:t>
            </w:r>
          </w:p>
        </w:tc>
        <w:tc>
          <w:tcPr>
            <w:tcW w:w="1734" w:type="dxa"/>
            <w:shd w:val="clear" w:color="auto" w:fill="auto"/>
          </w:tcPr>
          <w:p w14:paraId="61BE4D27"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Make decisions within defined parameters and following establ</w:t>
            </w:r>
            <w:r w:rsidR="00B6648B">
              <w:rPr>
                <w:rFonts w:cs="Times New Roman"/>
                <w:sz w:val="19"/>
                <w:szCs w:val="19"/>
              </w:rPr>
              <w:t>ished procedures and protocols</w:t>
            </w:r>
          </w:p>
        </w:tc>
        <w:tc>
          <w:tcPr>
            <w:tcW w:w="1734" w:type="dxa"/>
            <w:shd w:val="clear" w:color="auto" w:fill="auto"/>
          </w:tcPr>
          <w:p w14:paraId="5CA2CAA0"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Make decisions within defined parameters relating to the area of responsibility </w:t>
            </w:r>
          </w:p>
        </w:tc>
        <w:tc>
          <w:tcPr>
            <w:tcW w:w="1734" w:type="dxa"/>
            <w:shd w:val="clear" w:color="auto" w:fill="auto"/>
          </w:tcPr>
          <w:p w14:paraId="6C4446D2"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Make decisions within defined parameters and sets new precedents based on sound subject matter knowle</w:t>
            </w:r>
            <w:r w:rsidR="00B6648B">
              <w:rPr>
                <w:rFonts w:ascii="Times New Roman" w:hAnsi="Times New Roman"/>
                <w:color w:val="000000" w:themeColor="text1"/>
                <w:sz w:val="19"/>
                <w:szCs w:val="19"/>
              </w:rPr>
              <w:t>dge and professional judgement</w:t>
            </w:r>
          </w:p>
        </w:tc>
        <w:tc>
          <w:tcPr>
            <w:tcW w:w="1734" w:type="dxa"/>
            <w:shd w:val="clear" w:color="auto" w:fill="auto"/>
          </w:tcPr>
          <w:p w14:paraId="125DD94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Make decisions using good judgement, expertise and knowledge. </w:t>
            </w:r>
            <w:proofErr w:type="gramStart"/>
            <w:r w:rsidRPr="005F161D">
              <w:rPr>
                <w:rFonts w:cs="Times New Roman"/>
                <w:sz w:val="19"/>
                <w:szCs w:val="19"/>
              </w:rPr>
              <w:t>Is  governed</w:t>
            </w:r>
            <w:proofErr w:type="gramEnd"/>
            <w:r w:rsidRPr="005F161D">
              <w:rPr>
                <w:rFonts w:cs="Times New Roman"/>
                <w:sz w:val="19"/>
                <w:szCs w:val="19"/>
              </w:rPr>
              <w:t xml:space="preserve">  by the application of regulations, best practice principles or the agency’s operating instructions and procedures</w:t>
            </w:r>
          </w:p>
        </w:tc>
        <w:tc>
          <w:tcPr>
            <w:tcW w:w="1734" w:type="dxa"/>
            <w:shd w:val="clear" w:color="auto" w:fill="auto"/>
          </w:tcPr>
          <w:p w14:paraId="35665848" w14:textId="77777777" w:rsidR="00937FD2" w:rsidRPr="005F161D" w:rsidRDefault="00937FD2" w:rsidP="00BA6327">
            <w:pPr>
              <w:spacing w:before="40" w:after="40" w:line="259" w:lineRule="auto"/>
              <w:rPr>
                <w:sz w:val="19"/>
                <w:szCs w:val="19"/>
              </w:rPr>
            </w:pPr>
            <w:r w:rsidRPr="005F161D">
              <w:rPr>
                <w:sz w:val="19"/>
                <w:szCs w:val="19"/>
              </w:rPr>
              <w:t>Make decisions that are based on professional judgement, evaluating risks and in the context of a c</w:t>
            </w:r>
            <w:r w:rsidR="00154B37">
              <w:rPr>
                <w:sz w:val="19"/>
                <w:szCs w:val="19"/>
              </w:rPr>
              <w:t>omplex and changing environment</w:t>
            </w:r>
          </w:p>
          <w:p w14:paraId="32559EEB" w14:textId="77777777" w:rsidR="00937FD2" w:rsidRPr="005F161D" w:rsidRDefault="00937FD2" w:rsidP="00BA6327">
            <w:pPr>
              <w:spacing w:before="40" w:after="40" w:line="259" w:lineRule="auto"/>
              <w:rPr>
                <w:rFonts w:cs="Times New Roman"/>
                <w:color w:val="000000" w:themeColor="text1"/>
                <w:sz w:val="19"/>
                <w:szCs w:val="19"/>
              </w:rPr>
            </w:pPr>
          </w:p>
        </w:tc>
        <w:tc>
          <w:tcPr>
            <w:tcW w:w="1734" w:type="dxa"/>
            <w:shd w:val="clear" w:color="auto" w:fill="auto"/>
          </w:tcPr>
          <w:p w14:paraId="19BE7244" w14:textId="77777777" w:rsidR="00937FD2" w:rsidRPr="005F161D" w:rsidRDefault="00937FD2" w:rsidP="00BA6327">
            <w:pPr>
              <w:spacing w:before="40" w:after="40" w:line="259" w:lineRule="auto"/>
              <w:rPr>
                <w:color w:val="000000" w:themeColor="text1"/>
                <w:sz w:val="19"/>
                <w:szCs w:val="19"/>
              </w:rPr>
            </w:pPr>
            <w:r w:rsidRPr="005F161D">
              <w:rPr>
                <w:color w:val="000000" w:themeColor="text1"/>
                <w:sz w:val="19"/>
                <w:szCs w:val="19"/>
              </w:rPr>
              <w:t>Make balanced decisions using professional judgement, evaluating ambiguous and incomplete information, factoring in risks and be</w:t>
            </w:r>
            <w:r w:rsidR="00B6648B">
              <w:rPr>
                <w:color w:val="000000" w:themeColor="text1"/>
                <w:sz w:val="19"/>
                <w:szCs w:val="19"/>
              </w:rPr>
              <w:t>ing sensitive to the context</w:t>
            </w:r>
          </w:p>
          <w:p w14:paraId="3A326CD3"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p>
        </w:tc>
      </w:tr>
      <w:tr w:rsidR="00937FD2" w:rsidRPr="004F7770" w14:paraId="0DA3D4EA" w14:textId="77777777" w:rsidTr="005F161D">
        <w:trPr>
          <w:trHeight w:val="3246"/>
        </w:trPr>
        <w:tc>
          <w:tcPr>
            <w:tcW w:w="1439" w:type="dxa"/>
            <w:shd w:val="clear" w:color="auto" w:fill="auto"/>
          </w:tcPr>
          <w:p w14:paraId="13DD1246"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Impact of decisions made</w:t>
            </w:r>
          </w:p>
        </w:tc>
        <w:tc>
          <w:tcPr>
            <w:tcW w:w="1733" w:type="dxa"/>
            <w:shd w:val="clear" w:color="auto" w:fill="auto"/>
          </w:tcPr>
          <w:p w14:paraId="2312D56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Decisions generally </w:t>
            </w:r>
            <w:r w:rsidRPr="005F161D">
              <w:rPr>
                <w:rFonts w:cs="Times New Roman"/>
                <w:sz w:val="19"/>
                <w:szCs w:val="19"/>
              </w:rPr>
              <w:t>have a minor impact on own work area</w:t>
            </w:r>
          </w:p>
        </w:tc>
        <w:tc>
          <w:tcPr>
            <w:tcW w:w="1733" w:type="dxa"/>
            <w:shd w:val="clear" w:color="auto" w:fill="auto"/>
          </w:tcPr>
          <w:p w14:paraId="2492BA2C"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Decisions h</w:t>
            </w:r>
            <w:r w:rsidRPr="005F161D">
              <w:rPr>
                <w:rFonts w:cs="Times New Roman"/>
                <w:sz w:val="19"/>
                <w:szCs w:val="19"/>
              </w:rPr>
              <w:t>ave a low impact on the work area or specific function</w:t>
            </w:r>
          </w:p>
        </w:tc>
        <w:tc>
          <w:tcPr>
            <w:tcW w:w="1734" w:type="dxa"/>
            <w:shd w:val="clear" w:color="auto" w:fill="auto"/>
          </w:tcPr>
          <w:p w14:paraId="2BFD0254"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Decisions are likely to impact the work area or specific function</w:t>
            </w:r>
          </w:p>
        </w:tc>
        <w:tc>
          <w:tcPr>
            <w:tcW w:w="1734" w:type="dxa"/>
            <w:shd w:val="clear" w:color="auto" w:fill="auto"/>
          </w:tcPr>
          <w:p w14:paraId="244F09E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Decisions impact on the work area or specific function</w:t>
            </w:r>
          </w:p>
        </w:tc>
        <w:tc>
          <w:tcPr>
            <w:tcW w:w="1734" w:type="dxa"/>
            <w:shd w:val="clear" w:color="auto" w:fill="auto"/>
          </w:tcPr>
          <w:p w14:paraId="073C0EBB" w14:textId="77777777" w:rsidR="00937FD2" w:rsidRPr="005F161D" w:rsidRDefault="00937FD2" w:rsidP="00BA6327">
            <w:pPr>
              <w:spacing w:before="40" w:after="40" w:line="259" w:lineRule="auto"/>
              <w:rPr>
                <w:rFonts w:cs="Times New Roman"/>
                <w:color w:val="000000" w:themeColor="text1"/>
                <w:sz w:val="19"/>
                <w:szCs w:val="19"/>
              </w:rPr>
            </w:pPr>
            <w:r w:rsidRPr="005F161D">
              <w:rPr>
                <w:color w:val="000000" w:themeColor="text1"/>
                <w:sz w:val="19"/>
                <w:szCs w:val="19"/>
              </w:rPr>
              <w:t>Decisions may impact on the overall outcomes for the work area</w:t>
            </w:r>
          </w:p>
        </w:tc>
        <w:tc>
          <w:tcPr>
            <w:tcW w:w="1734" w:type="dxa"/>
            <w:shd w:val="clear" w:color="auto" w:fill="auto"/>
          </w:tcPr>
          <w:p w14:paraId="260DE2AB"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Decisions have a medium to high level of impact on the work area; however, the impact on agency operations and resources is usually limited</w:t>
            </w:r>
          </w:p>
        </w:tc>
        <w:tc>
          <w:tcPr>
            <w:tcW w:w="1734" w:type="dxa"/>
            <w:shd w:val="clear" w:color="auto" w:fill="auto"/>
          </w:tcPr>
          <w:p w14:paraId="7DBD7F94"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Decisions have a high level of impact on the functional area and the potential to impact more broadly on agency operations and externally</w:t>
            </w:r>
          </w:p>
        </w:tc>
        <w:tc>
          <w:tcPr>
            <w:tcW w:w="1734" w:type="dxa"/>
            <w:shd w:val="clear" w:color="auto" w:fill="auto"/>
          </w:tcPr>
          <w:p w14:paraId="69D43937"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Decisions may have significant impact on the day-to-day operation of the work area and other parts of the agency; and/or a direct and significant impact on the outcome of a program or major project for the agency</w:t>
            </w:r>
          </w:p>
        </w:tc>
      </w:tr>
      <w:tr w:rsidR="00937FD2" w:rsidRPr="004F7770" w14:paraId="34972FA2" w14:textId="77777777" w:rsidTr="005F161D">
        <w:trPr>
          <w:trHeight w:val="2682"/>
        </w:trPr>
        <w:tc>
          <w:tcPr>
            <w:tcW w:w="1439" w:type="dxa"/>
            <w:shd w:val="clear" w:color="auto" w:fill="auto"/>
          </w:tcPr>
          <w:p w14:paraId="612BD7FE"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Research</w:t>
            </w:r>
          </w:p>
        </w:tc>
        <w:tc>
          <w:tcPr>
            <w:tcW w:w="1733" w:type="dxa"/>
            <w:shd w:val="clear" w:color="auto" w:fill="auto"/>
          </w:tcPr>
          <w:p w14:paraId="6A0A13F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Roles may play an administrative support role to other employees involved in research and investigative work</w:t>
            </w:r>
          </w:p>
        </w:tc>
        <w:tc>
          <w:tcPr>
            <w:tcW w:w="1733" w:type="dxa"/>
            <w:shd w:val="clear" w:color="auto" w:fill="auto"/>
          </w:tcPr>
          <w:p w14:paraId="1FAC219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Roles may undertake preliminary work for research tasks in a specific area of knowledge or specialisation</w:t>
            </w:r>
          </w:p>
        </w:tc>
        <w:tc>
          <w:tcPr>
            <w:tcW w:w="1734" w:type="dxa"/>
            <w:shd w:val="clear" w:color="auto" w:fill="auto"/>
          </w:tcPr>
          <w:p w14:paraId="2991DFF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Roles may undertake some research and analysis activities</w:t>
            </w:r>
          </w:p>
        </w:tc>
        <w:tc>
          <w:tcPr>
            <w:tcW w:w="1734" w:type="dxa"/>
            <w:shd w:val="clear" w:color="auto" w:fill="auto"/>
          </w:tcPr>
          <w:p w14:paraId="5C4B0550"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Roles may conduct research and analysis activities and report on findings</w:t>
            </w:r>
          </w:p>
        </w:tc>
        <w:tc>
          <w:tcPr>
            <w:tcW w:w="1734" w:type="dxa"/>
            <w:shd w:val="clear" w:color="auto" w:fill="auto"/>
          </w:tcPr>
          <w:p w14:paraId="4517B96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Perform objective and systematic research and analysis to obtain accurate conclusions based on evidence</w:t>
            </w:r>
          </w:p>
        </w:tc>
        <w:tc>
          <w:tcPr>
            <w:tcW w:w="1734" w:type="dxa"/>
            <w:shd w:val="clear" w:color="auto" w:fill="auto"/>
          </w:tcPr>
          <w:p w14:paraId="3A31BC54"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Perform research and analysis to make decisions that involve complex or escalated issues, longer-term planning and liaison with other sections on policy</w:t>
            </w:r>
            <w:r w:rsidR="00B6648B">
              <w:rPr>
                <w:rFonts w:ascii="Times New Roman" w:hAnsi="Times New Roman"/>
                <w:color w:val="000000" w:themeColor="text1"/>
                <w:sz w:val="19"/>
                <w:szCs w:val="19"/>
              </w:rPr>
              <w:t>, project or operational issues</w:t>
            </w:r>
          </w:p>
        </w:tc>
        <w:tc>
          <w:tcPr>
            <w:tcW w:w="1734" w:type="dxa"/>
            <w:shd w:val="clear" w:color="auto" w:fill="auto"/>
          </w:tcPr>
          <w:p w14:paraId="2112B6A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Work with a focus on research, analysis and jud</w:t>
            </w:r>
            <w:r w:rsidR="00B6648B">
              <w:rPr>
                <w:rFonts w:cs="Times New Roman"/>
                <w:color w:val="000000" w:themeColor="text1"/>
                <w:sz w:val="19"/>
                <w:szCs w:val="19"/>
              </w:rPr>
              <w:t>gement to manage complex issues</w:t>
            </w:r>
          </w:p>
        </w:tc>
        <w:tc>
          <w:tcPr>
            <w:tcW w:w="1734" w:type="dxa"/>
            <w:shd w:val="clear" w:color="auto" w:fill="auto"/>
          </w:tcPr>
          <w:p w14:paraId="65F64A8F"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Undertake complex analysis and interpretation and apply significant judgement in choosing a course of action to manage highly complex and/or sensitive issues</w:t>
            </w:r>
          </w:p>
        </w:tc>
      </w:tr>
      <w:tr w:rsidR="00937FD2" w:rsidRPr="004F7770" w14:paraId="0F0DECBF" w14:textId="77777777" w:rsidTr="005F161D">
        <w:trPr>
          <w:trHeight w:val="2676"/>
        </w:trPr>
        <w:tc>
          <w:tcPr>
            <w:tcW w:w="1439" w:type="dxa"/>
            <w:shd w:val="clear" w:color="auto" w:fill="auto"/>
          </w:tcPr>
          <w:p w14:paraId="270B31F8"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lastRenderedPageBreak/>
              <w:t>Stakeholder relationships</w:t>
            </w:r>
          </w:p>
        </w:tc>
        <w:tc>
          <w:tcPr>
            <w:tcW w:w="1733" w:type="dxa"/>
            <w:shd w:val="clear" w:color="auto" w:fill="auto"/>
          </w:tcPr>
          <w:p w14:paraId="7388C1F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Support effective stakeholder relationships. </w:t>
            </w:r>
            <w:r w:rsidRPr="005F161D">
              <w:rPr>
                <w:rFonts w:cs="Times New Roman"/>
                <w:color w:val="000000" w:themeColor="text1"/>
                <w:sz w:val="19"/>
                <w:szCs w:val="19"/>
              </w:rPr>
              <w:t xml:space="preserve"> Liaise with stakeholders and respond to routine matters</w:t>
            </w:r>
          </w:p>
        </w:tc>
        <w:tc>
          <w:tcPr>
            <w:tcW w:w="1733" w:type="dxa"/>
            <w:shd w:val="clear" w:color="auto" w:fill="auto"/>
          </w:tcPr>
          <w:p w14:paraId="60854C5C"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Support and maintain effective stakeholder relationships. </w:t>
            </w:r>
            <w:r w:rsidRPr="005F161D">
              <w:rPr>
                <w:rFonts w:cs="Times New Roman"/>
                <w:color w:val="000000" w:themeColor="text1"/>
                <w:sz w:val="19"/>
                <w:szCs w:val="19"/>
              </w:rPr>
              <w:t xml:space="preserve"> Liaise and respond to routine enquiries or straightforward matters</w:t>
            </w:r>
          </w:p>
        </w:tc>
        <w:tc>
          <w:tcPr>
            <w:tcW w:w="1734" w:type="dxa"/>
            <w:shd w:val="clear" w:color="auto" w:fill="auto"/>
          </w:tcPr>
          <w:p w14:paraId="74CF518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Cultivate effective stakeholder relationships.  Liaise with stakeholders and assist to </w:t>
            </w:r>
            <w:r w:rsidR="00B6648B">
              <w:rPr>
                <w:rFonts w:cs="Times New Roman"/>
                <w:color w:val="000000" w:themeColor="text1"/>
                <w:sz w:val="19"/>
                <w:szCs w:val="19"/>
              </w:rPr>
              <w:t>resolve straightforward matters</w:t>
            </w:r>
          </w:p>
        </w:tc>
        <w:tc>
          <w:tcPr>
            <w:tcW w:w="1734" w:type="dxa"/>
            <w:shd w:val="clear" w:color="auto" w:fill="auto"/>
          </w:tcPr>
          <w:p w14:paraId="50781F7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Build rapport and maintain stakeholder relationships.  Liaise with stakeholders and assist to resolve moderately complex issues</w:t>
            </w:r>
          </w:p>
        </w:tc>
        <w:tc>
          <w:tcPr>
            <w:tcW w:w="1734" w:type="dxa"/>
            <w:shd w:val="clear" w:color="auto" w:fill="auto"/>
          </w:tcPr>
          <w:p w14:paraId="2B5B9CF4"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Develop and maintain internal and external relationships.  Liaise with stakeholders on policy, project or operational issues responding to stakeholder needs and expectations</w:t>
            </w:r>
          </w:p>
        </w:tc>
        <w:tc>
          <w:tcPr>
            <w:tcW w:w="1734" w:type="dxa"/>
            <w:shd w:val="clear" w:color="auto" w:fill="auto"/>
          </w:tcPr>
          <w:p w14:paraId="74A1011F"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Develop and support complex relationships with internal and external stakeholders.  Manage relationships with stakeholders to achieve work area and agency goals.  Anticipate and respond to stakeholder needs and expectations</w:t>
            </w:r>
          </w:p>
        </w:tc>
        <w:tc>
          <w:tcPr>
            <w:tcW w:w="1734" w:type="dxa"/>
            <w:shd w:val="clear" w:color="auto" w:fill="auto"/>
          </w:tcPr>
          <w:p w14:paraId="5FB50336" w14:textId="77777777" w:rsidR="00937FD2" w:rsidRPr="005F161D" w:rsidRDefault="00937FD2" w:rsidP="00BA6327">
            <w:pPr>
              <w:spacing w:before="40" w:after="40" w:line="259" w:lineRule="auto"/>
              <w:rPr>
                <w:rFonts w:cs="Times New Roman"/>
                <w:sz w:val="19"/>
                <w:szCs w:val="19"/>
              </w:rPr>
            </w:pPr>
            <w:r w:rsidRPr="005F161D">
              <w:rPr>
                <w:rFonts w:cs="Times New Roman"/>
                <w:color w:val="000000" w:themeColor="text1"/>
                <w:sz w:val="19"/>
                <w:szCs w:val="19"/>
              </w:rPr>
              <w:t>Develop and manage a range of stakeholder relationships.</w:t>
            </w:r>
            <w:r w:rsidRPr="005F161D">
              <w:rPr>
                <w:rFonts w:cs="Times New Roman"/>
                <w:sz w:val="19"/>
                <w:szCs w:val="19"/>
              </w:rPr>
              <w:t xml:space="preserve"> </w:t>
            </w:r>
            <w:r w:rsidRPr="005F161D">
              <w:rPr>
                <w:rFonts w:cs="Times New Roman"/>
                <w:color w:val="000000" w:themeColor="text1"/>
                <w:sz w:val="19"/>
                <w:szCs w:val="19"/>
              </w:rPr>
              <w:t>Engage and collaborate with key stakeholders to identify opportunities, achieve outcomes and facilitate cooperation</w:t>
            </w:r>
          </w:p>
        </w:tc>
        <w:tc>
          <w:tcPr>
            <w:tcW w:w="1734" w:type="dxa"/>
            <w:shd w:val="clear" w:color="auto" w:fill="auto"/>
          </w:tcPr>
          <w:p w14:paraId="3E491FA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Develop and manage key strategic relationships with a broad range of stakeholders, promoting the agency’s business objectives </w:t>
            </w:r>
            <w:proofErr w:type="gramStart"/>
            <w:r w:rsidRPr="005F161D">
              <w:rPr>
                <w:rFonts w:cs="Times New Roman"/>
                <w:color w:val="000000" w:themeColor="text1"/>
                <w:sz w:val="19"/>
                <w:szCs w:val="19"/>
              </w:rPr>
              <w:t>and  communicating</w:t>
            </w:r>
            <w:proofErr w:type="gramEnd"/>
            <w:r w:rsidRPr="005F161D">
              <w:rPr>
                <w:rFonts w:cs="Times New Roman"/>
                <w:color w:val="000000" w:themeColor="text1"/>
                <w:sz w:val="19"/>
                <w:szCs w:val="19"/>
              </w:rPr>
              <w:t xml:space="preserve"> the strategic direction and vision of the agency</w:t>
            </w:r>
          </w:p>
          <w:p w14:paraId="16515A16" w14:textId="77777777" w:rsidR="00937FD2" w:rsidRPr="005F161D" w:rsidRDefault="00937FD2" w:rsidP="00BA6327">
            <w:pPr>
              <w:spacing w:before="40" w:after="40" w:line="259" w:lineRule="auto"/>
              <w:rPr>
                <w:rFonts w:cs="Times New Roman"/>
                <w:color w:val="000000" w:themeColor="text1"/>
                <w:sz w:val="19"/>
                <w:szCs w:val="19"/>
              </w:rPr>
            </w:pPr>
          </w:p>
          <w:p w14:paraId="49F9CBD8"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p>
        </w:tc>
      </w:tr>
      <w:tr w:rsidR="00937FD2" w:rsidRPr="004F7770" w14:paraId="03BDB160" w14:textId="77777777" w:rsidTr="005F161D">
        <w:trPr>
          <w:trHeight w:val="1304"/>
        </w:trPr>
        <w:tc>
          <w:tcPr>
            <w:tcW w:w="1439" w:type="dxa"/>
            <w:shd w:val="clear" w:color="auto" w:fill="auto"/>
          </w:tcPr>
          <w:p w14:paraId="2440159C"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Represent the agency</w:t>
            </w:r>
          </w:p>
        </w:tc>
        <w:tc>
          <w:tcPr>
            <w:tcW w:w="1733" w:type="dxa"/>
            <w:shd w:val="clear" w:color="auto" w:fill="auto"/>
          </w:tcPr>
          <w:p w14:paraId="4989BA51" w14:textId="77777777" w:rsidR="00937FD2" w:rsidRPr="005F161D" w:rsidRDefault="00937FD2" w:rsidP="00BA6327">
            <w:pPr>
              <w:spacing w:before="40" w:after="40" w:line="259" w:lineRule="auto"/>
              <w:rPr>
                <w:rFonts w:cs="Times New Roman"/>
                <w:color w:val="000000" w:themeColor="text1"/>
                <w:sz w:val="19"/>
                <w:szCs w:val="19"/>
              </w:rPr>
            </w:pPr>
          </w:p>
        </w:tc>
        <w:tc>
          <w:tcPr>
            <w:tcW w:w="1733" w:type="dxa"/>
            <w:shd w:val="clear" w:color="auto" w:fill="auto"/>
          </w:tcPr>
          <w:p w14:paraId="43BD9B8E" w14:textId="77777777" w:rsidR="00937FD2" w:rsidRPr="005F161D" w:rsidRDefault="00937FD2" w:rsidP="00BA6327">
            <w:pPr>
              <w:spacing w:before="40" w:after="40" w:line="259" w:lineRule="auto"/>
              <w:rPr>
                <w:rFonts w:cs="Times New Roman"/>
                <w:color w:val="000000" w:themeColor="text1"/>
                <w:sz w:val="19"/>
                <w:szCs w:val="19"/>
              </w:rPr>
            </w:pPr>
          </w:p>
        </w:tc>
        <w:tc>
          <w:tcPr>
            <w:tcW w:w="1734" w:type="dxa"/>
            <w:shd w:val="clear" w:color="auto" w:fill="auto"/>
          </w:tcPr>
          <w:p w14:paraId="5C05602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Represent the work area at internal meetings</w:t>
            </w:r>
          </w:p>
        </w:tc>
        <w:tc>
          <w:tcPr>
            <w:tcW w:w="1734" w:type="dxa"/>
            <w:shd w:val="clear" w:color="auto" w:fill="auto"/>
          </w:tcPr>
          <w:p w14:paraId="5547135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Represent the work area at internal and external meeting and conferences</w:t>
            </w:r>
          </w:p>
        </w:tc>
        <w:tc>
          <w:tcPr>
            <w:tcW w:w="1734" w:type="dxa"/>
            <w:shd w:val="clear" w:color="auto" w:fill="auto"/>
          </w:tcPr>
          <w:p w14:paraId="22BD892F"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Represent the work area or agency at meeting, conferences or seminars</w:t>
            </w:r>
          </w:p>
        </w:tc>
        <w:tc>
          <w:tcPr>
            <w:tcW w:w="1734" w:type="dxa"/>
            <w:shd w:val="clear" w:color="auto" w:fill="auto"/>
          </w:tcPr>
          <w:p w14:paraId="5C4499BA"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Represent the agency by promoting its interests at community and cross-agency levels</w:t>
            </w:r>
          </w:p>
        </w:tc>
        <w:tc>
          <w:tcPr>
            <w:tcW w:w="1734" w:type="dxa"/>
            <w:shd w:val="clear" w:color="auto" w:fill="auto"/>
          </w:tcPr>
          <w:p w14:paraId="4ECA639D"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Represent and explain the views of the agency at cross-a</w:t>
            </w:r>
            <w:r w:rsidR="00154B37">
              <w:rPr>
                <w:rFonts w:cs="Times New Roman"/>
                <w:color w:val="000000" w:themeColor="text1"/>
                <w:sz w:val="19"/>
                <w:szCs w:val="19"/>
              </w:rPr>
              <w:t>gency meetings and other forums</w:t>
            </w:r>
          </w:p>
        </w:tc>
        <w:tc>
          <w:tcPr>
            <w:tcW w:w="1734" w:type="dxa"/>
            <w:shd w:val="clear" w:color="auto" w:fill="auto"/>
          </w:tcPr>
          <w:p w14:paraId="455C5F38"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Represent and negotiate on behalf of the agency to advance the agency’s interests in cross-agency, inter-jurisdictional, international and other forums</w:t>
            </w:r>
          </w:p>
        </w:tc>
      </w:tr>
      <w:tr w:rsidR="00937FD2" w:rsidRPr="004F7770" w14:paraId="713B343B" w14:textId="77777777" w:rsidTr="005F161D">
        <w:trPr>
          <w:trHeight w:val="415"/>
        </w:trPr>
        <w:tc>
          <w:tcPr>
            <w:tcW w:w="1439" w:type="dxa"/>
            <w:shd w:val="clear" w:color="auto" w:fill="auto"/>
          </w:tcPr>
          <w:p w14:paraId="1F4A7509" w14:textId="77777777" w:rsidR="00937FD2" w:rsidRPr="002F57A3" w:rsidRDefault="00937FD2" w:rsidP="005F161D">
            <w:pPr>
              <w:spacing w:before="40" w:after="40" w:line="264" w:lineRule="auto"/>
              <w:rPr>
                <w:rFonts w:ascii="Arial" w:hAnsi="Arial" w:cs="Arial"/>
                <w:b/>
                <w:color w:val="000000" w:themeColor="text1"/>
                <w:sz w:val="18"/>
                <w:szCs w:val="18"/>
              </w:rPr>
            </w:pPr>
            <w:r w:rsidRPr="002F57A3">
              <w:rPr>
                <w:rFonts w:ascii="Arial" w:hAnsi="Arial" w:cs="Arial"/>
                <w:b/>
                <w:color w:val="000000" w:themeColor="text1"/>
                <w:sz w:val="18"/>
                <w:szCs w:val="18"/>
              </w:rPr>
              <w:t>Supervision / Management</w:t>
            </w:r>
          </w:p>
        </w:tc>
        <w:tc>
          <w:tcPr>
            <w:tcW w:w="1733" w:type="dxa"/>
            <w:shd w:val="clear" w:color="auto" w:fill="auto"/>
          </w:tcPr>
          <w:p w14:paraId="0678A6DA"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Roles have no supervisory function, although may assist others to become familiar with routine work practices and tasks</w:t>
            </w:r>
          </w:p>
        </w:tc>
        <w:tc>
          <w:tcPr>
            <w:tcW w:w="1733" w:type="dxa"/>
            <w:shd w:val="clear" w:color="auto" w:fill="auto"/>
          </w:tcPr>
          <w:p w14:paraId="5DA59EBC"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sz w:val="19"/>
                <w:szCs w:val="19"/>
              </w:rPr>
              <w:t xml:space="preserve">Roles have a minimal supervisory function but </w:t>
            </w:r>
            <w:r w:rsidRPr="00B272E3">
              <w:rPr>
                <w:rFonts w:cs="Times New Roman"/>
                <w:sz w:val="19"/>
                <w:szCs w:val="19"/>
                <w:u w:val="single"/>
              </w:rPr>
              <w:t xml:space="preserve">may </w:t>
            </w:r>
            <w:r w:rsidRPr="005F161D">
              <w:rPr>
                <w:rFonts w:cs="Times New Roman"/>
                <w:sz w:val="19"/>
                <w:szCs w:val="19"/>
              </w:rPr>
              <w:t>provide on-the-job training to develop the skills of lower classification levels on routine work matters and practices</w:t>
            </w:r>
          </w:p>
        </w:tc>
        <w:tc>
          <w:tcPr>
            <w:tcW w:w="1734" w:type="dxa"/>
            <w:shd w:val="clear" w:color="auto" w:fill="auto"/>
          </w:tcPr>
          <w:p w14:paraId="35C76C36" w14:textId="77777777" w:rsidR="00937FD2" w:rsidRPr="005F161D" w:rsidRDefault="00937FD2" w:rsidP="00BA6327">
            <w:pPr>
              <w:spacing w:before="40" w:after="40" w:line="259" w:lineRule="auto"/>
              <w:rPr>
                <w:rFonts w:cs="Times New Roman"/>
                <w:sz w:val="19"/>
                <w:szCs w:val="19"/>
              </w:rPr>
            </w:pPr>
            <w:r w:rsidRPr="005F161D">
              <w:rPr>
                <w:rFonts w:cs="Times New Roman"/>
                <w:sz w:val="19"/>
                <w:szCs w:val="19"/>
              </w:rPr>
              <w:t xml:space="preserve">Roles </w:t>
            </w:r>
            <w:r w:rsidRPr="00B272E3">
              <w:rPr>
                <w:rFonts w:cs="Times New Roman"/>
                <w:sz w:val="19"/>
                <w:szCs w:val="19"/>
                <w:u w:val="single"/>
              </w:rPr>
              <w:t>may</w:t>
            </w:r>
            <w:r w:rsidRPr="005F161D">
              <w:rPr>
                <w:rFonts w:cs="Times New Roman"/>
                <w:sz w:val="19"/>
                <w:szCs w:val="19"/>
              </w:rPr>
              <w:t xml:space="preserve"> provide mentoring, on-the-job training, and provide advice and guidance on procedural matters to a team</w:t>
            </w:r>
          </w:p>
          <w:p w14:paraId="3E8F2C42" w14:textId="77777777" w:rsidR="00937FD2" w:rsidRPr="005F161D" w:rsidRDefault="00937FD2" w:rsidP="00BA6327">
            <w:pPr>
              <w:spacing w:before="40" w:after="40" w:line="259" w:lineRule="auto"/>
              <w:rPr>
                <w:rFonts w:cs="Times New Roman"/>
                <w:color w:val="000000" w:themeColor="text1"/>
                <w:sz w:val="19"/>
                <w:szCs w:val="19"/>
              </w:rPr>
            </w:pPr>
          </w:p>
        </w:tc>
        <w:tc>
          <w:tcPr>
            <w:tcW w:w="1734" w:type="dxa"/>
            <w:shd w:val="clear" w:color="auto" w:fill="auto"/>
          </w:tcPr>
          <w:p w14:paraId="15A1B53F" w14:textId="77777777" w:rsidR="00937FD2" w:rsidRPr="005F161D" w:rsidRDefault="00937FD2" w:rsidP="00BA6327">
            <w:pPr>
              <w:spacing w:before="40" w:after="40" w:line="259" w:lineRule="auto"/>
              <w:rPr>
                <w:rFonts w:cs="Times New Roman"/>
                <w:sz w:val="19"/>
                <w:szCs w:val="19"/>
              </w:rPr>
            </w:pPr>
            <w:r w:rsidRPr="005F161D">
              <w:rPr>
                <w:rFonts w:cs="Times New Roman"/>
                <w:sz w:val="19"/>
                <w:szCs w:val="19"/>
              </w:rPr>
              <w:t xml:space="preserve">Roles </w:t>
            </w:r>
            <w:r w:rsidRPr="00B272E3">
              <w:rPr>
                <w:rFonts w:cs="Times New Roman"/>
                <w:sz w:val="19"/>
                <w:szCs w:val="19"/>
                <w:u w:val="single"/>
              </w:rPr>
              <w:t>may</w:t>
            </w:r>
            <w:r w:rsidRPr="005F161D">
              <w:rPr>
                <w:rFonts w:cs="Times New Roman"/>
                <w:sz w:val="19"/>
                <w:szCs w:val="19"/>
              </w:rPr>
              <w:t xml:space="preserve"> be responsible for coaching and mentoring and identif</w:t>
            </w:r>
            <w:r w:rsidR="00B6648B">
              <w:rPr>
                <w:rFonts w:cs="Times New Roman"/>
                <w:sz w:val="19"/>
                <w:szCs w:val="19"/>
              </w:rPr>
              <w:t>ying training needs for a team</w:t>
            </w:r>
          </w:p>
          <w:p w14:paraId="77B3007C" w14:textId="77777777" w:rsidR="00937FD2" w:rsidRPr="005F161D" w:rsidRDefault="00937FD2" w:rsidP="00BA6327">
            <w:pPr>
              <w:spacing w:before="40" w:after="40" w:line="259" w:lineRule="auto"/>
              <w:rPr>
                <w:rFonts w:cs="Times New Roman"/>
                <w:color w:val="000000" w:themeColor="text1"/>
                <w:sz w:val="19"/>
                <w:szCs w:val="19"/>
              </w:rPr>
            </w:pPr>
          </w:p>
        </w:tc>
        <w:tc>
          <w:tcPr>
            <w:tcW w:w="1734" w:type="dxa"/>
            <w:shd w:val="clear" w:color="auto" w:fill="auto"/>
          </w:tcPr>
          <w:p w14:paraId="292683A5"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Role </w:t>
            </w:r>
            <w:r w:rsidRPr="00B272E3">
              <w:rPr>
                <w:rFonts w:cs="Times New Roman"/>
                <w:color w:val="000000" w:themeColor="text1"/>
                <w:sz w:val="19"/>
                <w:szCs w:val="19"/>
                <w:u w:val="single"/>
              </w:rPr>
              <w:t>may</w:t>
            </w:r>
            <w:r w:rsidRPr="005F161D">
              <w:rPr>
                <w:rFonts w:cs="Times New Roman"/>
                <w:color w:val="000000" w:themeColor="text1"/>
                <w:sz w:val="19"/>
                <w:szCs w:val="19"/>
              </w:rPr>
              <w:t xml:space="preserve"> be responsible for identifying training needs for a team, and participating in performance management processes, including providing performance feedback</w:t>
            </w:r>
          </w:p>
        </w:tc>
        <w:tc>
          <w:tcPr>
            <w:tcW w:w="1734" w:type="dxa"/>
            <w:shd w:val="clear" w:color="auto" w:fill="auto"/>
          </w:tcPr>
          <w:p w14:paraId="45950850"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 xml:space="preserve">Roles </w:t>
            </w:r>
            <w:r w:rsidRPr="00B272E3">
              <w:rPr>
                <w:rFonts w:ascii="Times New Roman" w:hAnsi="Times New Roman"/>
                <w:color w:val="000000" w:themeColor="text1"/>
                <w:sz w:val="19"/>
                <w:szCs w:val="19"/>
                <w:u w:val="single"/>
              </w:rPr>
              <w:t>may</w:t>
            </w:r>
            <w:r w:rsidRPr="005F161D">
              <w:rPr>
                <w:rFonts w:ascii="Times New Roman" w:hAnsi="Times New Roman"/>
                <w:color w:val="000000" w:themeColor="text1"/>
                <w:sz w:val="19"/>
                <w:szCs w:val="19"/>
              </w:rPr>
              <w:t xml:space="preserve"> be responsible for the supervision and development of lower classification levels; building team capacity through coaching, performance feedback; and encouraging career development</w:t>
            </w:r>
          </w:p>
        </w:tc>
        <w:tc>
          <w:tcPr>
            <w:tcW w:w="1734" w:type="dxa"/>
            <w:shd w:val="clear" w:color="auto" w:fill="auto"/>
          </w:tcPr>
          <w:p w14:paraId="016CC7D2" w14:textId="77777777" w:rsidR="00937FD2" w:rsidRPr="005F161D" w:rsidRDefault="00937FD2" w:rsidP="00BA6327">
            <w:pPr>
              <w:spacing w:before="40" w:after="40" w:line="259" w:lineRule="auto"/>
              <w:rPr>
                <w:rFonts w:cs="Times New Roman"/>
                <w:color w:val="000000" w:themeColor="text1"/>
                <w:sz w:val="19"/>
                <w:szCs w:val="19"/>
              </w:rPr>
            </w:pPr>
            <w:r w:rsidRPr="005F161D">
              <w:rPr>
                <w:rFonts w:cs="Times New Roman"/>
                <w:color w:val="000000" w:themeColor="text1"/>
                <w:sz w:val="19"/>
                <w:szCs w:val="19"/>
              </w:rPr>
              <w:t xml:space="preserve">Roles </w:t>
            </w:r>
            <w:r w:rsidRPr="00B272E3">
              <w:rPr>
                <w:rFonts w:cs="Times New Roman"/>
                <w:color w:val="000000" w:themeColor="text1"/>
                <w:sz w:val="19"/>
                <w:szCs w:val="19"/>
                <w:u w:val="single"/>
              </w:rPr>
              <w:t>may</w:t>
            </w:r>
            <w:r w:rsidRPr="005F161D">
              <w:rPr>
                <w:rFonts w:cs="Times New Roman"/>
                <w:color w:val="000000" w:themeColor="text1"/>
                <w:sz w:val="19"/>
                <w:szCs w:val="19"/>
              </w:rPr>
              <w:t xml:space="preserve"> be responsible for building capability in a team environment through coaching others, providing performance feedback, conflict resolution and</w:t>
            </w:r>
            <w:r w:rsidR="00B6648B">
              <w:rPr>
                <w:rFonts w:cs="Times New Roman"/>
                <w:color w:val="000000" w:themeColor="text1"/>
                <w:sz w:val="19"/>
                <w:szCs w:val="19"/>
              </w:rPr>
              <w:t xml:space="preserve"> encouraging career development</w:t>
            </w:r>
          </w:p>
        </w:tc>
        <w:tc>
          <w:tcPr>
            <w:tcW w:w="1734" w:type="dxa"/>
            <w:shd w:val="clear" w:color="auto" w:fill="auto"/>
          </w:tcPr>
          <w:p w14:paraId="453A8633" w14:textId="77777777" w:rsidR="00937FD2" w:rsidRPr="005F161D" w:rsidRDefault="00937FD2" w:rsidP="00BA6327">
            <w:pPr>
              <w:pStyle w:val="ListParagraph"/>
              <w:numPr>
                <w:ilvl w:val="0"/>
                <w:numId w:val="0"/>
              </w:numPr>
              <w:spacing w:before="40" w:after="40" w:line="259" w:lineRule="auto"/>
              <w:contextualSpacing w:val="0"/>
              <w:jc w:val="left"/>
              <w:rPr>
                <w:rFonts w:ascii="Times New Roman" w:hAnsi="Times New Roman"/>
                <w:color w:val="000000" w:themeColor="text1"/>
                <w:sz w:val="19"/>
                <w:szCs w:val="19"/>
              </w:rPr>
            </w:pPr>
            <w:r w:rsidRPr="005F161D">
              <w:rPr>
                <w:rFonts w:ascii="Times New Roman" w:hAnsi="Times New Roman"/>
                <w:color w:val="000000" w:themeColor="text1"/>
                <w:sz w:val="19"/>
                <w:szCs w:val="19"/>
              </w:rPr>
              <w:t xml:space="preserve">Role </w:t>
            </w:r>
            <w:r w:rsidRPr="00B272E3">
              <w:rPr>
                <w:rFonts w:ascii="Times New Roman" w:hAnsi="Times New Roman"/>
                <w:color w:val="000000" w:themeColor="text1"/>
                <w:sz w:val="19"/>
                <w:szCs w:val="19"/>
                <w:u w:val="single"/>
              </w:rPr>
              <w:t>may</w:t>
            </w:r>
            <w:r w:rsidRPr="005F161D">
              <w:rPr>
                <w:rFonts w:ascii="Times New Roman" w:hAnsi="Times New Roman"/>
                <w:color w:val="000000" w:themeColor="text1"/>
                <w:sz w:val="19"/>
                <w:szCs w:val="19"/>
              </w:rPr>
              <w:t xml:space="preserve"> be accountable for </w:t>
            </w:r>
            <w:r w:rsidRPr="005F161D">
              <w:rPr>
                <w:rFonts w:ascii="Times New Roman" w:hAnsi="Times New Roman"/>
                <w:sz w:val="19"/>
                <w:szCs w:val="19"/>
              </w:rPr>
              <w:t>developing</w:t>
            </w:r>
            <w:r w:rsidRPr="005F161D">
              <w:rPr>
                <w:rFonts w:ascii="Times New Roman" w:hAnsi="Times New Roman"/>
                <w:color w:val="000000" w:themeColor="text1"/>
                <w:sz w:val="19"/>
                <w:szCs w:val="19"/>
              </w:rPr>
              <w:t>, coaching and mentoring employees, performance management, conflict resolution, and identification of t</w:t>
            </w:r>
            <w:r w:rsidR="00B6648B">
              <w:rPr>
                <w:rFonts w:ascii="Times New Roman" w:hAnsi="Times New Roman"/>
                <w:color w:val="000000" w:themeColor="text1"/>
                <w:sz w:val="19"/>
                <w:szCs w:val="19"/>
              </w:rPr>
              <w:t>raining needs</w:t>
            </w:r>
          </w:p>
        </w:tc>
      </w:tr>
    </w:tbl>
    <w:p w14:paraId="074FC1B5" w14:textId="77777777" w:rsidR="00A40954" w:rsidRDefault="00A40954"/>
    <w:p w14:paraId="19C7036A" w14:textId="77777777" w:rsidR="0050171A" w:rsidRDefault="0050171A"/>
    <w:sectPr w:rsidR="0050171A" w:rsidSect="00F52936">
      <w:headerReference w:type="default" r:id="rId13"/>
      <w:pgSz w:w="16838" w:h="11906" w:orient="landscape" w:code="9"/>
      <w:pgMar w:top="567" w:right="794" w:bottom="567" w:left="794" w:header="284" w:footer="0" w:gutter="0"/>
      <w:pgBorders w:offsetFrom="page">
        <w:top w:val="none" w:sz="0" w:space="0" w:color="000000"/>
        <w:left w:val="none" w:sz="0" w:space="0" w:color="00FF00"/>
        <w:bottom w:val="none" w:sz="0" w:space="0" w:color="00FF00"/>
        <w:right w:val="none" w:sz="0" w:space="0" w:color="00FF00"/>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55266" w14:textId="77777777" w:rsidR="008412BF" w:rsidRDefault="008412BF" w:rsidP="00847B9E">
      <w:pPr>
        <w:spacing w:after="0" w:line="240" w:lineRule="auto"/>
      </w:pPr>
      <w:r>
        <w:separator/>
      </w:r>
    </w:p>
  </w:endnote>
  <w:endnote w:type="continuationSeparator" w:id="0">
    <w:p w14:paraId="64E234D9" w14:textId="77777777" w:rsidR="008412BF" w:rsidRDefault="008412BF" w:rsidP="00847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9" w:type="dxa"/>
      <w:tblInd w:w="85" w:type="dxa"/>
      <w:tblBorders>
        <w:top w:val="single" w:sz="24" w:space="0" w:color="90BB43"/>
      </w:tblBorders>
      <w:tblLook w:val="01E0" w:firstRow="1" w:lastRow="1" w:firstColumn="1" w:lastColumn="1" w:noHBand="0" w:noVBand="0"/>
    </w:tblPr>
    <w:tblGrid>
      <w:gridCol w:w="7654"/>
      <w:gridCol w:w="7655"/>
    </w:tblGrid>
    <w:tr w:rsidR="002B2B25" w:rsidRPr="004A3440" w14:paraId="045F162A" w14:textId="77777777" w:rsidTr="001C742B">
      <w:trPr>
        <w:trHeight w:val="365"/>
      </w:trPr>
      <w:tc>
        <w:tcPr>
          <w:tcW w:w="7654" w:type="dxa"/>
          <w:shd w:val="clear" w:color="auto" w:fill="auto"/>
          <w:vAlign w:val="center"/>
        </w:tcPr>
        <w:p w14:paraId="1383F3CF" w14:textId="77777777" w:rsidR="002B2B25" w:rsidRPr="004A3440" w:rsidRDefault="002B2B25" w:rsidP="000112C6">
          <w:pPr>
            <w:pStyle w:val="Footer"/>
            <w:rPr>
              <w:rFonts w:ascii="Arial" w:hAnsi="Arial" w:cs="Arial"/>
              <w:sz w:val="16"/>
              <w:szCs w:val="16"/>
            </w:rPr>
          </w:pPr>
          <w:r>
            <w:rPr>
              <w:rFonts w:ascii="Arial" w:hAnsi="Arial" w:cs="Arial"/>
              <w:sz w:val="16"/>
              <w:szCs w:val="16"/>
            </w:rPr>
            <w:t>© Commonwealth of Australia 2013</w:t>
          </w:r>
        </w:p>
      </w:tc>
      <w:tc>
        <w:tcPr>
          <w:tcW w:w="7654" w:type="dxa"/>
          <w:shd w:val="clear" w:color="auto" w:fill="auto"/>
          <w:vAlign w:val="center"/>
        </w:tcPr>
        <w:p w14:paraId="482D000D" w14:textId="77777777" w:rsidR="002B2B25" w:rsidRPr="00FE4136" w:rsidRDefault="002B2B25" w:rsidP="000112C6">
          <w:pPr>
            <w:pStyle w:val="Footer"/>
            <w:jc w:val="center"/>
            <w:rPr>
              <w:rFonts w:ascii="Arial" w:hAnsi="Arial" w:cs="Arial"/>
              <w:color w:val="7F7F7F" w:themeColor="background1" w:themeShade="7F"/>
              <w:spacing w:val="60"/>
              <w:sz w:val="6"/>
              <w:szCs w:val="6"/>
            </w:rPr>
          </w:pPr>
        </w:p>
        <w:p w14:paraId="0167C0E1" w14:textId="77777777" w:rsidR="002B2B25" w:rsidRPr="004A3440" w:rsidRDefault="002B2B25" w:rsidP="000112C6">
          <w:pPr>
            <w:pStyle w:val="Footer"/>
            <w:jc w:val="right"/>
            <w:rPr>
              <w:rFonts w:ascii="Arial" w:hAnsi="Arial" w:cs="Arial"/>
              <w:sz w:val="16"/>
              <w:szCs w:val="16"/>
            </w:rPr>
          </w:pPr>
          <w:r w:rsidRPr="004A3440">
            <w:rPr>
              <w:rFonts w:ascii="Arial" w:hAnsi="Arial" w:cs="Arial"/>
              <w:color w:val="7F7F7F" w:themeColor="background1" w:themeShade="7F"/>
              <w:spacing w:val="60"/>
              <w:sz w:val="16"/>
              <w:szCs w:val="16"/>
            </w:rPr>
            <w:t>Page</w:t>
          </w:r>
          <w:r w:rsidRPr="004A3440">
            <w:rPr>
              <w:rFonts w:ascii="Arial" w:hAnsi="Arial" w:cs="Arial"/>
              <w:sz w:val="16"/>
              <w:szCs w:val="16"/>
            </w:rPr>
            <w:t xml:space="preserve"> | </w:t>
          </w:r>
          <w:r w:rsidRPr="004A3440">
            <w:rPr>
              <w:rFonts w:ascii="Arial" w:hAnsi="Arial" w:cs="Arial"/>
              <w:sz w:val="16"/>
              <w:szCs w:val="16"/>
            </w:rPr>
            <w:fldChar w:fldCharType="begin"/>
          </w:r>
          <w:r w:rsidRPr="004A3440">
            <w:rPr>
              <w:rFonts w:ascii="Arial" w:hAnsi="Arial" w:cs="Arial"/>
              <w:sz w:val="16"/>
              <w:szCs w:val="16"/>
            </w:rPr>
            <w:instrText xml:space="preserve"> PAGE   \* MERGEFORMAT </w:instrText>
          </w:r>
          <w:r w:rsidRPr="004A3440">
            <w:rPr>
              <w:rFonts w:ascii="Arial" w:hAnsi="Arial" w:cs="Arial"/>
              <w:sz w:val="16"/>
              <w:szCs w:val="16"/>
            </w:rPr>
            <w:fldChar w:fldCharType="separate"/>
          </w:r>
          <w:r w:rsidR="005B3A46" w:rsidRPr="005B3A46">
            <w:rPr>
              <w:rFonts w:ascii="Arial" w:hAnsi="Arial" w:cs="Arial"/>
              <w:b/>
              <w:noProof/>
              <w:sz w:val="16"/>
              <w:szCs w:val="16"/>
            </w:rPr>
            <w:t>6</w:t>
          </w:r>
          <w:r w:rsidRPr="004A3440">
            <w:rPr>
              <w:rFonts w:ascii="Arial" w:hAnsi="Arial" w:cs="Arial"/>
              <w:sz w:val="16"/>
              <w:szCs w:val="16"/>
            </w:rPr>
            <w:fldChar w:fldCharType="end"/>
          </w:r>
        </w:p>
      </w:tc>
    </w:tr>
  </w:tbl>
  <w:p w14:paraId="4EE1F2FE" w14:textId="77777777" w:rsidR="002B2B25" w:rsidRDefault="002B2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EA63AD" w14:textId="77777777" w:rsidR="008412BF" w:rsidRDefault="008412BF" w:rsidP="00847B9E">
      <w:pPr>
        <w:spacing w:after="0" w:line="240" w:lineRule="auto"/>
      </w:pPr>
      <w:r>
        <w:separator/>
      </w:r>
    </w:p>
  </w:footnote>
  <w:footnote w:type="continuationSeparator" w:id="0">
    <w:p w14:paraId="068B9A69" w14:textId="77777777" w:rsidR="008412BF" w:rsidRDefault="008412BF" w:rsidP="00847B9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307" w:type="dxa"/>
      <w:tblInd w:w="85" w:type="dxa"/>
      <w:tblBorders>
        <w:top w:val="single" w:sz="12" w:space="0" w:color="90BB43"/>
        <w:left w:val="single" w:sz="12" w:space="0" w:color="90BB43"/>
        <w:bottom w:val="single" w:sz="24" w:space="0" w:color="90BB43"/>
        <w:right w:val="single" w:sz="12" w:space="0" w:color="90BB43"/>
      </w:tblBorders>
      <w:tblLook w:val="01E0" w:firstRow="1" w:lastRow="1" w:firstColumn="1" w:lastColumn="1" w:noHBand="0" w:noVBand="0"/>
    </w:tblPr>
    <w:tblGrid>
      <w:gridCol w:w="15307"/>
    </w:tblGrid>
    <w:tr w:rsidR="00673232" w:rsidRPr="006618DC" w14:paraId="78924E78" w14:textId="77777777" w:rsidTr="008826F3">
      <w:trPr>
        <w:trHeight w:val="425"/>
      </w:trPr>
      <w:tc>
        <w:tcPr>
          <w:tcW w:w="15307" w:type="dxa"/>
          <w:vAlign w:val="center"/>
        </w:tcPr>
        <w:p w14:paraId="5B1610E0" w14:textId="77777777" w:rsidR="00673232" w:rsidRPr="002B2B25" w:rsidRDefault="00673232" w:rsidP="002B2B25">
          <w:pPr>
            <w:spacing w:after="0" w:line="240" w:lineRule="auto"/>
            <w:jc w:val="center"/>
            <w:rPr>
              <w:b/>
              <w:sz w:val="28"/>
              <w:szCs w:val="28"/>
            </w:rPr>
          </w:pPr>
          <w:r w:rsidRPr="002B2B25">
            <w:rPr>
              <w:b/>
              <w:sz w:val="28"/>
              <w:szCs w:val="28"/>
            </w:rPr>
            <w:t>APS Work Level Standards – Differences Document</w:t>
          </w:r>
        </w:p>
      </w:tc>
    </w:tr>
  </w:tbl>
  <w:p w14:paraId="1FD93D6B" w14:textId="77777777" w:rsidR="00673232" w:rsidRDefault="00673232" w:rsidP="000B40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63D96"/>
    <w:multiLevelType w:val="hybridMultilevel"/>
    <w:tmpl w:val="999802EA"/>
    <w:lvl w:ilvl="0" w:tplc="3E4A0544">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3932226"/>
    <w:multiLevelType w:val="hybridMultilevel"/>
    <w:tmpl w:val="9056D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FB04861"/>
    <w:multiLevelType w:val="hybridMultilevel"/>
    <w:tmpl w:val="1B00253C"/>
    <w:lvl w:ilvl="0" w:tplc="CD4465D6">
      <w:start w:val="1"/>
      <w:numFmt w:val="bullet"/>
      <w:lvlText w:val=""/>
      <w:lvlJc w:val="left"/>
      <w:pPr>
        <w:ind w:left="720" w:hanging="360"/>
      </w:pPr>
      <w:rPr>
        <w:rFonts w:ascii="Wingdings" w:hAnsi="Wingdings" w:hint="default"/>
      </w:rPr>
    </w:lvl>
    <w:lvl w:ilvl="1" w:tplc="B546AC34">
      <w:start w:val="1"/>
      <w:numFmt w:val="bullet"/>
      <w:pStyle w:val="ListParagraph"/>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1D3378"/>
    <w:multiLevelType w:val="hybridMultilevel"/>
    <w:tmpl w:val="8B3AAFC0"/>
    <w:lvl w:ilvl="0" w:tplc="615EC234">
      <w:start w:val="1"/>
      <w:numFmt w:val="bullet"/>
      <w:pStyle w:val="APSCBulletedtex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F755BF1"/>
    <w:multiLevelType w:val="hybridMultilevel"/>
    <w:tmpl w:val="FC0AD724"/>
    <w:lvl w:ilvl="0" w:tplc="7E9A725C">
      <w:start w:val="1"/>
      <w:numFmt w:val="bullet"/>
      <w:pStyle w:val="Bullet1"/>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360"/>
        </w:tabs>
        <w:ind w:left="360" w:hanging="360"/>
      </w:pPr>
      <w:rPr>
        <w:rFonts w:ascii="Symbol" w:hAnsi="Symbol" w:hint="default"/>
        <w:color w:val="auto"/>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B9E"/>
    <w:rsid w:val="00003A2D"/>
    <w:rsid w:val="000048DC"/>
    <w:rsid w:val="00031701"/>
    <w:rsid w:val="00031DB4"/>
    <w:rsid w:val="00033D4A"/>
    <w:rsid w:val="000606B7"/>
    <w:rsid w:val="00066D48"/>
    <w:rsid w:val="00082FA6"/>
    <w:rsid w:val="000908DE"/>
    <w:rsid w:val="00094736"/>
    <w:rsid w:val="00096602"/>
    <w:rsid w:val="000A598C"/>
    <w:rsid w:val="000B25D0"/>
    <w:rsid w:val="000B40E2"/>
    <w:rsid w:val="000D642A"/>
    <w:rsid w:val="00103BA5"/>
    <w:rsid w:val="001047EF"/>
    <w:rsid w:val="001100AA"/>
    <w:rsid w:val="00110802"/>
    <w:rsid w:val="001116D7"/>
    <w:rsid w:val="001129C9"/>
    <w:rsid w:val="00122375"/>
    <w:rsid w:val="0012704A"/>
    <w:rsid w:val="00137F2D"/>
    <w:rsid w:val="00146918"/>
    <w:rsid w:val="00154483"/>
    <w:rsid w:val="00154B37"/>
    <w:rsid w:val="00162F54"/>
    <w:rsid w:val="0017544C"/>
    <w:rsid w:val="001776BD"/>
    <w:rsid w:val="00186A99"/>
    <w:rsid w:val="00187DDE"/>
    <w:rsid w:val="00191A57"/>
    <w:rsid w:val="001B15E4"/>
    <w:rsid w:val="001B3047"/>
    <w:rsid w:val="001B4A7A"/>
    <w:rsid w:val="001C742B"/>
    <w:rsid w:val="001C7AE2"/>
    <w:rsid w:val="001E15E6"/>
    <w:rsid w:val="001F4036"/>
    <w:rsid w:val="00206C10"/>
    <w:rsid w:val="00207C3C"/>
    <w:rsid w:val="00217C2A"/>
    <w:rsid w:val="00220FE3"/>
    <w:rsid w:val="00223BE2"/>
    <w:rsid w:val="00226C2A"/>
    <w:rsid w:val="0022728E"/>
    <w:rsid w:val="00232E4C"/>
    <w:rsid w:val="0024425C"/>
    <w:rsid w:val="002630EB"/>
    <w:rsid w:val="002831E1"/>
    <w:rsid w:val="00291B8E"/>
    <w:rsid w:val="002938DD"/>
    <w:rsid w:val="002B2B25"/>
    <w:rsid w:val="002C1C9C"/>
    <w:rsid w:val="002D0031"/>
    <w:rsid w:val="002E3AC3"/>
    <w:rsid w:val="002E4BFD"/>
    <w:rsid w:val="002E70AB"/>
    <w:rsid w:val="002E7373"/>
    <w:rsid w:val="002F57A3"/>
    <w:rsid w:val="002F7B78"/>
    <w:rsid w:val="00304044"/>
    <w:rsid w:val="00305A35"/>
    <w:rsid w:val="00311DF1"/>
    <w:rsid w:val="00316E39"/>
    <w:rsid w:val="00337472"/>
    <w:rsid w:val="00357E0B"/>
    <w:rsid w:val="00365683"/>
    <w:rsid w:val="00370D25"/>
    <w:rsid w:val="0037206C"/>
    <w:rsid w:val="00384F88"/>
    <w:rsid w:val="003862AA"/>
    <w:rsid w:val="00387A46"/>
    <w:rsid w:val="003C1150"/>
    <w:rsid w:val="003C3E24"/>
    <w:rsid w:val="003C70E0"/>
    <w:rsid w:val="003E01A5"/>
    <w:rsid w:val="003E0ACC"/>
    <w:rsid w:val="003E217A"/>
    <w:rsid w:val="003E3B45"/>
    <w:rsid w:val="00420117"/>
    <w:rsid w:val="0044170C"/>
    <w:rsid w:val="00442D44"/>
    <w:rsid w:val="00445908"/>
    <w:rsid w:val="004459AE"/>
    <w:rsid w:val="0045113B"/>
    <w:rsid w:val="00452938"/>
    <w:rsid w:val="00461ED0"/>
    <w:rsid w:val="00464FF1"/>
    <w:rsid w:val="004673C2"/>
    <w:rsid w:val="00471393"/>
    <w:rsid w:val="00473CCF"/>
    <w:rsid w:val="004832DC"/>
    <w:rsid w:val="00483300"/>
    <w:rsid w:val="00494011"/>
    <w:rsid w:val="00496A4B"/>
    <w:rsid w:val="004B01DE"/>
    <w:rsid w:val="004B65D1"/>
    <w:rsid w:val="004C1076"/>
    <w:rsid w:val="004C1A15"/>
    <w:rsid w:val="004C41C5"/>
    <w:rsid w:val="004D3F13"/>
    <w:rsid w:val="004D47CF"/>
    <w:rsid w:val="004E34AF"/>
    <w:rsid w:val="004E6FC5"/>
    <w:rsid w:val="004F30BA"/>
    <w:rsid w:val="004F33BD"/>
    <w:rsid w:val="004F4787"/>
    <w:rsid w:val="004F4C1C"/>
    <w:rsid w:val="004F67A6"/>
    <w:rsid w:val="004F6CE3"/>
    <w:rsid w:val="005005A3"/>
    <w:rsid w:val="0050171A"/>
    <w:rsid w:val="00502EBE"/>
    <w:rsid w:val="00505067"/>
    <w:rsid w:val="00506B42"/>
    <w:rsid w:val="00512541"/>
    <w:rsid w:val="0051409F"/>
    <w:rsid w:val="005246DA"/>
    <w:rsid w:val="005330C3"/>
    <w:rsid w:val="005401B5"/>
    <w:rsid w:val="0054277B"/>
    <w:rsid w:val="00546E46"/>
    <w:rsid w:val="00551CD2"/>
    <w:rsid w:val="00553487"/>
    <w:rsid w:val="00564954"/>
    <w:rsid w:val="0057495E"/>
    <w:rsid w:val="00582B24"/>
    <w:rsid w:val="00583836"/>
    <w:rsid w:val="00585C9D"/>
    <w:rsid w:val="00585CC9"/>
    <w:rsid w:val="005863AA"/>
    <w:rsid w:val="00590D97"/>
    <w:rsid w:val="00596659"/>
    <w:rsid w:val="005A1069"/>
    <w:rsid w:val="005B3A46"/>
    <w:rsid w:val="005B52D7"/>
    <w:rsid w:val="005B5566"/>
    <w:rsid w:val="005B7828"/>
    <w:rsid w:val="005C1266"/>
    <w:rsid w:val="005C2F96"/>
    <w:rsid w:val="005D37A5"/>
    <w:rsid w:val="005D40E4"/>
    <w:rsid w:val="005E0660"/>
    <w:rsid w:val="005F0C95"/>
    <w:rsid w:val="005F161D"/>
    <w:rsid w:val="005F4C7C"/>
    <w:rsid w:val="00602C54"/>
    <w:rsid w:val="006156DE"/>
    <w:rsid w:val="0062700D"/>
    <w:rsid w:val="0063041B"/>
    <w:rsid w:val="0063093A"/>
    <w:rsid w:val="00630DEE"/>
    <w:rsid w:val="00636C76"/>
    <w:rsid w:val="00637405"/>
    <w:rsid w:val="00644865"/>
    <w:rsid w:val="006571AB"/>
    <w:rsid w:val="00660C59"/>
    <w:rsid w:val="00673232"/>
    <w:rsid w:val="00674425"/>
    <w:rsid w:val="00682EC4"/>
    <w:rsid w:val="00683CEA"/>
    <w:rsid w:val="0069759C"/>
    <w:rsid w:val="006A2C0A"/>
    <w:rsid w:val="006B38FE"/>
    <w:rsid w:val="006B3F4E"/>
    <w:rsid w:val="006B4235"/>
    <w:rsid w:val="006C1324"/>
    <w:rsid w:val="006D5A72"/>
    <w:rsid w:val="006F0DC3"/>
    <w:rsid w:val="00702C67"/>
    <w:rsid w:val="007109AC"/>
    <w:rsid w:val="0071145E"/>
    <w:rsid w:val="00714D19"/>
    <w:rsid w:val="00723D1D"/>
    <w:rsid w:val="00723F98"/>
    <w:rsid w:val="0072668A"/>
    <w:rsid w:val="007301E8"/>
    <w:rsid w:val="0073109F"/>
    <w:rsid w:val="00732ABA"/>
    <w:rsid w:val="00742DD3"/>
    <w:rsid w:val="00743D95"/>
    <w:rsid w:val="00747A88"/>
    <w:rsid w:val="00761457"/>
    <w:rsid w:val="00765438"/>
    <w:rsid w:val="00783FA4"/>
    <w:rsid w:val="00786D20"/>
    <w:rsid w:val="00786D97"/>
    <w:rsid w:val="007903AD"/>
    <w:rsid w:val="00793724"/>
    <w:rsid w:val="007A36CD"/>
    <w:rsid w:val="007B03BE"/>
    <w:rsid w:val="007B697A"/>
    <w:rsid w:val="007B6997"/>
    <w:rsid w:val="007D223B"/>
    <w:rsid w:val="007E2E62"/>
    <w:rsid w:val="007E3EAE"/>
    <w:rsid w:val="007E7F65"/>
    <w:rsid w:val="008039F0"/>
    <w:rsid w:val="00820703"/>
    <w:rsid w:val="008212B6"/>
    <w:rsid w:val="00831789"/>
    <w:rsid w:val="00835990"/>
    <w:rsid w:val="008412BF"/>
    <w:rsid w:val="00847B9E"/>
    <w:rsid w:val="00854D34"/>
    <w:rsid w:val="008567F1"/>
    <w:rsid w:val="00857487"/>
    <w:rsid w:val="008612FB"/>
    <w:rsid w:val="00881CDE"/>
    <w:rsid w:val="008826F3"/>
    <w:rsid w:val="008B0B74"/>
    <w:rsid w:val="008B5CD0"/>
    <w:rsid w:val="008B6310"/>
    <w:rsid w:val="008C374A"/>
    <w:rsid w:val="008C477C"/>
    <w:rsid w:val="008D53D5"/>
    <w:rsid w:val="008D55B1"/>
    <w:rsid w:val="008D7EA1"/>
    <w:rsid w:val="008E0D39"/>
    <w:rsid w:val="008E3215"/>
    <w:rsid w:val="008F13D3"/>
    <w:rsid w:val="008F5769"/>
    <w:rsid w:val="008F7101"/>
    <w:rsid w:val="00911A42"/>
    <w:rsid w:val="00917D29"/>
    <w:rsid w:val="00937EA7"/>
    <w:rsid w:val="00937FD2"/>
    <w:rsid w:val="00973258"/>
    <w:rsid w:val="00975601"/>
    <w:rsid w:val="00983ABF"/>
    <w:rsid w:val="00987C86"/>
    <w:rsid w:val="00991EC9"/>
    <w:rsid w:val="009958AA"/>
    <w:rsid w:val="009A75CD"/>
    <w:rsid w:val="009B1F4E"/>
    <w:rsid w:val="009C055A"/>
    <w:rsid w:val="009C2A09"/>
    <w:rsid w:val="009C5DCE"/>
    <w:rsid w:val="009D0A14"/>
    <w:rsid w:val="009D27AD"/>
    <w:rsid w:val="009F1484"/>
    <w:rsid w:val="009F25B4"/>
    <w:rsid w:val="00A00EDD"/>
    <w:rsid w:val="00A01CEA"/>
    <w:rsid w:val="00A03907"/>
    <w:rsid w:val="00A140CC"/>
    <w:rsid w:val="00A1516F"/>
    <w:rsid w:val="00A2036E"/>
    <w:rsid w:val="00A22193"/>
    <w:rsid w:val="00A35BF3"/>
    <w:rsid w:val="00A40954"/>
    <w:rsid w:val="00A51950"/>
    <w:rsid w:val="00A5307A"/>
    <w:rsid w:val="00A64A08"/>
    <w:rsid w:val="00A70249"/>
    <w:rsid w:val="00A75600"/>
    <w:rsid w:val="00A779FA"/>
    <w:rsid w:val="00A90D15"/>
    <w:rsid w:val="00AB2050"/>
    <w:rsid w:val="00AB78BF"/>
    <w:rsid w:val="00AC2EE1"/>
    <w:rsid w:val="00AD6DC6"/>
    <w:rsid w:val="00AE55A3"/>
    <w:rsid w:val="00AF262B"/>
    <w:rsid w:val="00B010F4"/>
    <w:rsid w:val="00B03AD0"/>
    <w:rsid w:val="00B11806"/>
    <w:rsid w:val="00B150A3"/>
    <w:rsid w:val="00B25E32"/>
    <w:rsid w:val="00B272E3"/>
    <w:rsid w:val="00B37E66"/>
    <w:rsid w:val="00B41186"/>
    <w:rsid w:val="00B53090"/>
    <w:rsid w:val="00B6648B"/>
    <w:rsid w:val="00B66C38"/>
    <w:rsid w:val="00B74942"/>
    <w:rsid w:val="00BA6327"/>
    <w:rsid w:val="00BB02C1"/>
    <w:rsid w:val="00BB7F52"/>
    <w:rsid w:val="00BC02D3"/>
    <w:rsid w:val="00BE625D"/>
    <w:rsid w:val="00C03CC8"/>
    <w:rsid w:val="00C10091"/>
    <w:rsid w:val="00C21A48"/>
    <w:rsid w:val="00C3353A"/>
    <w:rsid w:val="00C455B7"/>
    <w:rsid w:val="00C51274"/>
    <w:rsid w:val="00C523DA"/>
    <w:rsid w:val="00C55135"/>
    <w:rsid w:val="00C60605"/>
    <w:rsid w:val="00C62037"/>
    <w:rsid w:val="00C65A74"/>
    <w:rsid w:val="00C720BA"/>
    <w:rsid w:val="00C721F3"/>
    <w:rsid w:val="00C82E5E"/>
    <w:rsid w:val="00C8416D"/>
    <w:rsid w:val="00C907F0"/>
    <w:rsid w:val="00CA1E37"/>
    <w:rsid w:val="00CA499D"/>
    <w:rsid w:val="00CB3612"/>
    <w:rsid w:val="00CD7152"/>
    <w:rsid w:val="00CE67AF"/>
    <w:rsid w:val="00D0057D"/>
    <w:rsid w:val="00D04CA2"/>
    <w:rsid w:val="00D1035F"/>
    <w:rsid w:val="00D146C7"/>
    <w:rsid w:val="00D217EE"/>
    <w:rsid w:val="00D33CE6"/>
    <w:rsid w:val="00D417E9"/>
    <w:rsid w:val="00D476BC"/>
    <w:rsid w:val="00D64B2C"/>
    <w:rsid w:val="00D64DFB"/>
    <w:rsid w:val="00D81677"/>
    <w:rsid w:val="00D82650"/>
    <w:rsid w:val="00D82A22"/>
    <w:rsid w:val="00D84ADA"/>
    <w:rsid w:val="00D87700"/>
    <w:rsid w:val="00D91D6F"/>
    <w:rsid w:val="00D93DEF"/>
    <w:rsid w:val="00D940C7"/>
    <w:rsid w:val="00DA2B5A"/>
    <w:rsid w:val="00DC3583"/>
    <w:rsid w:val="00DC48F5"/>
    <w:rsid w:val="00DC57BA"/>
    <w:rsid w:val="00DD294E"/>
    <w:rsid w:val="00DD4BF8"/>
    <w:rsid w:val="00DD6EBA"/>
    <w:rsid w:val="00DD790C"/>
    <w:rsid w:val="00DE1064"/>
    <w:rsid w:val="00DE7253"/>
    <w:rsid w:val="00E15D47"/>
    <w:rsid w:val="00E17319"/>
    <w:rsid w:val="00E21515"/>
    <w:rsid w:val="00E24EE4"/>
    <w:rsid w:val="00E32D5F"/>
    <w:rsid w:val="00E36CE5"/>
    <w:rsid w:val="00E37690"/>
    <w:rsid w:val="00E43EC6"/>
    <w:rsid w:val="00E52733"/>
    <w:rsid w:val="00E5527F"/>
    <w:rsid w:val="00E62A9F"/>
    <w:rsid w:val="00E84220"/>
    <w:rsid w:val="00E85655"/>
    <w:rsid w:val="00E92DCC"/>
    <w:rsid w:val="00E970E8"/>
    <w:rsid w:val="00EA210D"/>
    <w:rsid w:val="00EA6C58"/>
    <w:rsid w:val="00EB3474"/>
    <w:rsid w:val="00EC046C"/>
    <w:rsid w:val="00EC3F92"/>
    <w:rsid w:val="00EC6D72"/>
    <w:rsid w:val="00EE216B"/>
    <w:rsid w:val="00F04135"/>
    <w:rsid w:val="00F245BA"/>
    <w:rsid w:val="00F306DD"/>
    <w:rsid w:val="00F31276"/>
    <w:rsid w:val="00F4126A"/>
    <w:rsid w:val="00F44B77"/>
    <w:rsid w:val="00F52936"/>
    <w:rsid w:val="00F5337F"/>
    <w:rsid w:val="00F54A5E"/>
    <w:rsid w:val="00F569A4"/>
    <w:rsid w:val="00F6530A"/>
    <w:rsid w:val="00F74EFC"/>
    <w:rsid w:val="00F76469"/>
    <w:rsid w:val="00F90A73"/>
    <w:rsid w:val="00F91142"/>
    <w:rsid w:val="00F94345"/>
    <w:rsid w:val="00FA4507"/>
    <w:rsid w:val="00FA65A5"/>
    <w:rsid w:val="00FB21BF"/>
    <w:rsid w:val="00FC1212"/>
    <w:rsid w:val="00FC6054"/>
    <w:rsid w:val="00FD2138"/>
    <w:rsid w:val="00FD46F0"/>
    <w:rsid w:val="00FD5A03"/>
    <w:rsid w:val="00FE513D"/>
    <w:rsid w:val="00FF742D"/>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665D2"/>
  <w15:docId w15:val="{1022EE4B-1D58-4BF8-A037-956F09207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847B9E"/>
    <w:pPr>
      <w:spacing w:after="120" w:line="300" w:lineRule="auto"/>
    </w:pPr>
    <w:rPr>
      <w:rFonts w:ascii="Times New Roman" w:hAnsi="Times New Roman" w:cs="Calibri"/>
      <w:lang w:eastAsia="en-AU"/>
    </w:rPr>
  </w:style>
  <w:style w:type="paragraph" w:styleId="Heading1">
    <w:name w:val="heading 1"/>
    <w:basedOn w:val="Normal"/>
    <w:next w:val="Normal"/>
    <w:link w:val="Heading1Char"/>
    <w:uiPriority w:val="9"/>
    <w:qFormat/>
    <w:rsid w:val="004E6F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aliases w:val="APSC Heading 4"/>
    <w:next w:val="Normal"/>
    <w:link w:val="Heading5Char"/>
    <w:unhideWhenUsed/>
    <w:qFormat/>
    <w:rsid w:val="008D7EA1"/>
    <w:pPr>
      <w:spacing w:before="120" w:after="120" w:line="240" w:lineRule="auto"/>
      <w:outlineLvl w:val="4"/>
    </w:pPr>
    <w:rPr>
      <w:rFonts w:ascii="Arial" w:eastAsia="Batang" w:hAnsi="Arial" w:cs="Arial"/>
      <w:bCs/>
      <w:i/>
      <w:color w:val="0D4827"/>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APSC Heading 4 Char"/>
    <w:basedOn w:val="DefaultParagraphFont"/>
    <w:link w:val="Heading5"/>
    <w:rsid w:val="008D7EA1"/>
    <w:rPr>
      <w:rFonts w:ascii="Arial" w:eastAsia="Batang" w:hAnsi="Arial" w:cs="Arial"/>
      <w:bCs/>
      <w:i/>
      <w:color w:val="0D4827"/>
      <w:szCs w:val="32"/>
    </w:rPr>
  </w:style>
  <w:style w:type="paragraph" w:customStyle="1" w:styleId="APSCBulletedtext">
    <w:name w:val="APSC Bulleted text"/>
    <w:basedOn w:val="Normal"/>
    <w:qFormat/>
    <w:rsid w:val="007E3EAE"/>
    <w:pPr>
      <w:numPr>
        <w:numId w:val="4"/>
      </w:numPr>
    </w:pPr>
  </w:style>
  <w:style w:type="paragraph" w:styleId="BodyText">
    <w:name w:val="Body Text"/>
    <w:aliases w:val="APSC Body text"/>
    <w:next w:val="Normal"/>
    <w:link w:val="BodyTextChar"/>
    <w:rsid w:val="00847B9E"/>
    <w:pPr>
      <w:spacing w:after="120" w:line="300" w:lineRule="auto"/>
    </w:pPr>
    <w:rPr>
      <w:rFonts w:ascii="Times New Roman" w:hAnsi="Times New Roman" w:cs="Calibri"/>
      <w:lang w:eastAsia="en-AU"/>
    </w:rPr>
  </w:style>
  <w:style w:type="character" w:customStyle="1" w:styleId="BodyTextChar">
    <w:name w:val="Body Text Char"/>
    <w:aliases w:val="APSC Body text Char"/>
    <w:basedOn w:val="DefaultParagraphFont"/>
    <w:link w:val="BodyText"/>
    <w:rsid w:val="00847B9E"/>
    <w:rPr>
      <w:rFonts w:ascii="Times New Roman" w:hAnsi="Times New Roman" w:cs="Calibri"/>
      <w:lang w:eastAsia="en-AU"/>
    </w:rPr>
  </w:style>
  <w:style w:type="table" w:styleId="TableGrid">
    <w:name w:val="Table Grid"/>
    <w:basedOn w:val="TableNormal"/>
    <w:uiPriority w:val="59"/>
    <w:rsid w:val="00847B9E"/>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47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9E"/>
    <w:rPr>
      <w:rFonts w:ascii="Times New Roman" w:hAnsi="Times New Roman" w:cs="Calibri"/>
      <w:lang w:eastAsia="en-AU"/>
    </w:rPr>
  </w:style>
  <w:style w:type="paragraph" w:styleId="ListParagraph">
    <w:name w:val="List Paragraph"/>
    <w:basedOn w:val="Normal"/>
    <w:uiPriority w:val="34"/>
    <w:qFormat/>
    <w:rsid w:val="00847B9E"/>
    <w:pPr>
      <w:numPr>
        <w:ilvl w:val="1"/>
        <w:numId w:val="5"/>
      </w:numPr>
      <w:spacing w:after="0" w:line="240" w:lineRule="auto"/>
      <w:contextualSpacing/>
      <w:jc w:val="both"/>
    </w:pPr>
    <w:rPr>
      <w:rFonts w:ascii="Arial" w:eastAsia="Times New Roman" w:hAnsi="Arial" w:cs="Times New Roman"/>
      <w:sz w:val="20"/>
      <w:szCs w:val="20"/>
      <w:lang w:eastAsia="en-US"/>
    </w:rPr>
  </w:style>
  <w:style w:type="paragraph" w:styleId="Title">
    <w:name w:val="Title"/>
    <w:basedOn w:val="Normal"/>
    <w:link w:val="TitleChar"/>
    <w:qFormat/>
    <w:rsid w:val="00847B9E"/>
    <w:pPr>
      <w:spacing w:before="240" w:after="60" w:line="240" w:lineRule="auto"/>
      <w:jc w:val="center"/>
      <w:outlineLvl w:val="0"/>
    </w:pPr>
    <w:rPr>
      <w:rFonts w:ascii="Arial" w:eastAsia="Times New Roman" w:hAnsi="Arial" w:cs="Arial"/>
      <w:b/>
      <w:bCs/>
      <w:kern w:val="28"/>
      <w:sz w:val="32"/>
      <w:szCs w:val="32"/>
      <w:lang w:val="en-GB" w:eastAsia="en-US"/>
    </w:rPr>
  </w:style>
  <w:style w:type="character" w:customStyle="1" w:styleId="TitleChar">
    <w:name w:val="Title Char"/>
    <w:basedOn w:val="DefaultParagraphFont"/>
    <w:link w:val="Title"/>
    <w:rsid w:val="00847B9E"/>
    <w:rPr>
      <w:rFonts w:ascii="Arial" w:eastAsia="Times New Roman" w:hAnsi="Arial" w:cs="Arial"/>
      <w:b/>
      <w:bCs/>
      <w:kern w:val="28"/>
      <w:sz w:val="32"/>
      <w:szCs w:val="32"/>
      <w:lang w:val="en-GB"/>
    </w:rPr>
  </w:style>
  <w:style w:type="paragraph" w:styleId="Footer">
    <w:name w:val="footer"/>
    <w:aliases w:val="APSC Footer"/>
    <w:basedOn w:val="Normal"/>
    <w:link w:val="FooterChar"/>
    <w:uiPriority w:val="99"/>
    <w:unhideWhenUsed/>
    <w:rsid w:val="00847B9E"/>
    <w:pPr>
      <w:tabs>
        <w:tab w:val="center" w:pos="4513"/>
        <w:tab w:val="right" w:pos="9026"/>
      </w:tabs>
      <w:spacing w:after="0" w:line="240" w:lineRule="auto"/>
    </w:pPr>
  </w:style>
  <w:style w:type="character" w:customStyle="1" w:styleId="FooterChar">
    <w:name w:val="Footer Char"/>
    <w:aliases w:val="APSC Footer Char"/>
    <w:basedOn w:val="DefaultParagraphFont"/>
    <w:link w:val="Footer"/>
    <w:uiPriority w:val="99"/>
    <w:rsid w:val="00847B9E"/>
    <w:rPr>
      <w:rFonts w:ascii="Times New Roman" w:hAnsi="Times New Roman" w:cs="Calibri"/>
      <w:lang w:eastAsia="en-AU"/>
    </w:rPr>
  </w:style>
  <w:style w:type="character" w:customStyle="1" w:styleId="Heading1Char">
    <w:name w:val="Heading 1 Char"/>
    <w:basedOn w:val="DefaultParagraphFont"/>
    <w:link w:val="Heading1"/>
    <w:uiPriority w:val="9"/>
    <w:rsid w:val="004E6FC5"/>
    <w:rPr>
      <w:rFonts w:asciiTheme="majorHAnsi" w:eastAsiaTheme="majorEastAsia" w:hAnsiTheme="majorHAnsi" w:cstheme="majorBidi"/>
      <w:b/>
      <w:bCs/>
      <w:color w:val="365F91" w:themeColor="accent1" w:themeShade="BF"/>
      <w:sz w:val="28"/>
      <w:szCs w:val="28"/>
      <w:lang w:eastAsia="en-AU"/>
    </w:rPr>
  </w:style>
  <w:style w:type="paragraph" w:customStyle="1" w:styleId="APSCBlocktext">
    <w:name w:val="APSC Block text"/>
    <w:basedOn w:val="Normal"/>
    <w:uiPriority w:val="99"/>
    <w:qFormat/>
    <w:rsid w:val="004E6FC5"/>
    <w:pPr>
      <w:spacing w:before="60" w:after="180"/>
      <w:jc w:val="both"/>
    </w:pPr>
    <w:rPr>
      <w:rFonts w:eastAsiaTheme="minorEastAsia" w:cstheme="minorBidi"/>
      <w:iCs/>
    </w:rPr>
  </w:style>
  <w:style w:type="paragraph" w:customStyle="1" w:styleId="Bullet1">
    <w:name w:val="Bullet 1"/>
    <w:basedOn w:val="Normal"/>
    <w:uiPriority w:val="99"/>
    <w:rsid w:val="004E6FC5"/>
    <w:pPr>
      <w:numPr>
        <w:numId w:val="7"/>
      </w:numPr>
      <w:spacing w:before="120" w:after="40" w:line="240" w:lineRule="auto"/>
      <w:jc w:val="both"/>
    </w:pPr>
    <w:rPr>
      <w:rFonts w:eastAsia="Times New Roman" w:cs="Times New Roman"/>
      <w:sz w:val="20"/>
      <w:szCs w:val="24"/>
    </w:rPr>
  </w:style>
  <w:style w:type="paragraph" w:styleId="BalloonText">
    <w:name w:val="Balloon Text"/>
    <w:basedOn w:val="Normal"/>
    <w:link w:val="BalloonTextChar"/>
    <w:uiPriority w:val="99"/>
    <w:semiHidden/>
    <w:unhideWhenUsed/>
    <w:rsid w:val="00445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AE"/>
    <w:rPr>
      <w:rFonts w:ascii="Tahoma" w:hAnsi="Tahoma" w:cs="Tahoma"/>
      <w:sz w:val="16"/>
      <w:szCs w:val="16"/>
      <w:lang w:eastAsia="en-AU"/>
    </w:rPr>
  </w:style>
  <w:style w:type="character" w:styleId="Hyperlink">
    <w:name w:val="Hyperlink"/>
    <w:basedOn w:val="DefaultParagraphFont"/>
    <w:uiPriority w:val="99"/>
    <w:unhideWhenUsed/>
    <w:rsid w:val="00B03AD0"/>
    <w:rPr>
      <w:color w:val="0000FF" w:themeColor="hyperlink"/>
      <w:u w:val="single"/>
    </w:rPr>
  </w:style>
  <w:style w:type="character" w:styleId="FollowedHyperlink">
    <w:name w:val="FollowedHyperlink"/>
    <w:basedOn w:val="DefaultParagraphFont"/>
    <w:uiPriority w:val="99"/>
    <w:semiHidden/>
    <w:unhideWhenUsed/>
    <w:rsid w:val="00B0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6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psc.gov.au/publications-and-media/current-publications/worklevel-standards"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creativecommons.org/licenses/by/2.5/au/" TargetMode="External"/><Relationship Id="rId10"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4791C-383A-E849-9976-2BB3D2A9A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2186</Words>
  <Characters>12463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Work level standards differences document</vt:lpstr>
    </vt:vector>
  </TitlesOfParts>
  <Company>Australian Government</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level standards differences document</dc:title>
  <dc:creator>Australian Public Service Commission</dc:creator>
  <cp:lastModifiedBy>Microsoft Office User</cp:lastModifiedBy>
  <cp:revision>2</cp:revision>
  <cp:lastPrinted>2013-05-02T04:54:00Z</cp:lastPrinted>
  <dcterms:created xsi:type="dcterms:W3CDTF">2019-02-12T03:24:00Z</dcterms:created>
  <dcterms:modified xsi:type="dcterms:W3CDTF">2019-02-12T03:24:00Z</dcterms:modified>
</cp:coreProperties>
</file>